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p14">
  <w:body>
    <w:p>
      <w:pPr>
        <w:spacing w:after="0"/>
        <w:jc w:val="left"/>
        <w:rPr>
          <w:rFonts w:ascii="Calibri Light" w:hAnsi="Calibri Light" w:eastAsia="" w:cs="Calibri Light" w:asciiTheme="majorAscii" w:hAnsiTheme="majorAscii" w:eastAsiaTheme="majorEastAsia" w:cstheme="majorAscii"/>
          <w:sz w:val="23"/>
          <w:szCs w:val="23"/>
        </w:rPr>
      </w:pPr>
      <w:r w:rsidRPr="54F83198" w:rsidR="00B30E42">
        <w:rPr>
          <w:rFonts w:ascii="Calibri Light" w:hAnsi="Calibri Light" w:eastAsia="" w:cs="Calibri Light" w:asciiTheme="majorAscii" w:hAnsiTheme="majorAscii" w:eastAsiaTheme="majorEastAsia" w:cstheme="majorAscii"/>
          <w:sz w:val="23"/>
          <w:szCs w:val="23"/>
        </w:rPr>
        <w:t xml:space="preserve">Appendix No. </w:t>
      </w:r>
      <w:r w:rsidRPr="54F83198" w:rsidR="000D33AF">
        <w:rPr>
          <w:rFonts w:ascii="Calibri Light" w:hAnsi="Calibri Light" w:eastAsia="" w:cs="Calibri Light" w:asciiTheme="majorAscii" w:hAnsiTheme="majorAscii" w:eastAsiaTheme="majorEastAsia" w:cstheme="majorAscii"/>
          <w:sz w:val="23"/>
          <w:szCs w:val="23"/>
        </w:rPr>
        <w:t xml:space="preserve">5</w:t>
      </w:r>
      <w:r w:rsidRPr="54F83198" w:rsidR="1EC394F8">
        <w:rPr>
          <w:rFonts w:ascii="Calibri Light" w:hAnsi="Calibri Light" w:eastAsia="" w:cs="Calibri Light" w:asciiTheme="majorAscii" w:hAnsiTheme="majorAscii" w:eastAsiaTheme="majorEastAsia" w:cstheme="majorAscii"/>
          <w:sz w:val="23"/>
          <w:szCs w:val="23"/>
        </w:rPr>
        <w:t xml:space="preserve">: </w:t>
      </w:r>
      <w:r w:rsidRPr="54F83198" w:rsidR="00B30E42">
        <w:rPr>
          <w:rFonts w:ascii="Calibri Light" w:hAnsi="Calibri Light" w:eastAsia="" w:cs="Calibri Light" w:asciiTheme="majorAscii" w:hAnsiTheme="majorAscii" w:eastAsiaTheme="majorEastAsia" w:cstheme="majorAscii"/>
          <w:b w:val="1"/>
          <w:bCs w:val="1"/>
          <w:sz w:val="23"/>
          <w:szCs w:val="23"/>
        </w:rPr>
        <w:t xml:space="preserve">Model </w:t>
      </w:r>
      <w:r w:rsidRPr="54F83198" w:rsidR="00765E87">
        <w:rPr>
          <w:rFonts w:ascii="Calibri Light" w:hAnsi="Calibri Light" w:cs="Calibri Light" w:asciiTheme="majorAscii" w:hAnsiTheme="majorAscii" w:cstheme="majorAscii"/>
          <w:b w:val="1"/>
          <w:bCs w:val="1"/>
          <w:sz w:val="23"/>
          <w:szCs w:val="23"/>
        </w:rPr>
        <w:t xml:space="preserve">Declaration</w:t>
      </w:r>
      <w:r w:rsidRPr="54F83198" w:rsidR="00765E87">
        <w:rPr>
          <w:rFonts w:ascii="Calibri Light" w:hAnsi="Calibri Light" w:cs="Calibri Light" w:asciiTheme="majorAscii" w:hAnsiTheme="majorAscii" w:cstheme="majorAscii"/>
          <w:b w:val="1"/>
          <w:bCs w:val="1"/>
          <w:sz w:val="23"/>
          <w:szCs w:val="23"/>
        </w:rPr>
        <w:t xml:space="preserve"> of the </w:t>
      </w:r>
      <w:r w:rsidRPr="54F83198" w:rsidR="00765E87">
        <w:rPr>
          <w:rFonts w:ascii="Calibri Light" w:hAnsi="Calibri Light" w:cs="Calibri Light" w:asciiTheme="majorAscii" w:hAnsiTheme="majorAscii" w:cstheme="majorAscii"/>
          <w:b w:val="1"/>
          <w:bCs w:val="1"/>
          <w:sz w:val="23"/>
          <w:szCs w:val="23"/>
        </w:rPr>
        <w:t xml:space="preserve">Project </w:t>
      </w:r>
      <w:r w:rsidRPr="54F83198" w:rsidR="79327F9F">
        <w:rPr>
          <w:rFonts w:ascii="Calibri Light" w:hAnsi="Calibri Light" w:cs="Calibri Light" w:asciiTheme="majorAscii" w:hAnsiTheme="majorAscii" w:cstheme="majorAscii"/>
          <w:b w:val="1"/>
          <w:bCs w:val="1"/>
          <w:sz w:val="23"/>
          <w:szCs w:val="23"/>
        </w:rPr>
        <w:t xml:space="preserve">Participant/participant </w:t>
      </w:r>
      <w:r w:rsidRPr="54F83198" w:rsidR="00765E87">
        <w:rPr>
          <w:rFonts w:ascii="Calibri Light" w:hAnsi="Calibri Light" w:cs="Calibri Light" w:asciiTheme="majorAscii" w:hAnsiTheme="majorAscii" w:cstheme="majorAscii"/>
          <w:b w:val="1"/>
          <w:bCs w:val="1"/>
          <w:sz w:val="23"/>
          <w:szCs w:val="23"/>
        </w:rPr>
        <w:t xml:space="preserve">regarding </w:t>
      </w:r>
      <w:r w:rsidRPr="54F83198" w:rsidR="00765E87">
        <w:rPr>
          <w:rFonts w:ascii="Calibri Light" w:hAnsi="Calibri Light" w:cs="Calibri Light" w:asciiTheme="majorAscii" w:hAnsiTheme="majorAscii" w:cstheme="majorAscii"/>
          <w:b w:val="1"/>
          <w:bCs w:val="1"/>
          <w:sz w:val="23"/>
          <w:szCs w:val="23"/>
        </w:rPr>
        <w:t xml:space="preserve">familiarization </w:t>
      </w:r>
      <w:r w:rsidRPr="54F83198" w:rsidR="00765E87">
        <w:rPr>
          <w:rFonts w:ascii="Calibri Light" w:hAnsi="Calibri Light" w:cs="Calibri Light" w:asciiTheme="majorAscii" w:hAnsiTheme="majorAscii" w:cstheme="majorAscii"/>
          <w:b w:val="1"/>
          <w:bCs w:val="1"/>
          <w:sz w:val="23"/>
          <w:szCs w:val="23"/>
        </w:rPr>
        <w:t xml:space="preserve">with the rules of personal data processing</w:t>
      </w:r>
    </w:p>
    <w:p xmlns:wp14="http://schemas.microsoft.com/office/word/2010/wordml" w:rsidRPr="009C2E71" w:rsidR="004264F4" w:rsidP="004264F4" w:rsidRDefault="004264F4" wp14:paraId="672A6659" wp14:textId="77777777">
      <w:pPr>
        <w:tabs>
          <w:tab w:val="left" w:pos="9497"/>
        </w:tabs>
        <w:spacing w:after="0" w:line="276" w:lineRule="auto"/>
        <w:jc w:val="center"/>
        <w:rPr>
          <w:rFonts w:eastAsia="Calibri Light" w:asciiTheme="majorHAnsi" w:hAnsiTheme="majorHAnsi" w:cstheme="majorHAnsi"/>
          <w:b/>
          <w:bCs/>
        </w:rPr>
      </w:pPr>
    </w:p>
    <w:p>
      <w:pPr>
        <w:tabs>
          <w:tab w:val="left" w:pos="900"/>
        </w:tabs>
        <w:spacing w:after="0" w:line="259" w:lineRule="auto"/>
        <w:jc w:val="center"/>
        <w:rPr>
          <w:rFonts w:ascii="Calibri Light" w:hAnsi="Calibri Light" w:eastAsia="" w:cs="Calibri Light" w:asciiTheme="majorAscii" w:hAnsiTheme="majorAscii" w:eastAsiaTheme="majorEastAsia" w:cstheme="majorAscii"/>
          <w:b w:val="1"/>
          <w:bCs w:val="1"/>
          <w:sz w:val="21"/>
          <w:szCs w:val="21"/>
        </w:rPr>
      </w:pPr>
      <w:r w:rsidRPr="54F83198" w:rsidR="00765E87">
        <w:rPr>
          <w:rFonts w:ascii="Calibri Light" w:hAnsi="Calibri Light" w:eastAsia="" w:cs="Calibri Light" w:asciiTheme="majorAscii" w:hAnsiTheme="majorAscii" w:eastAsiaTheme="majorEastAsia" w:cstheme="majorAscii"/>
          <w:b w:val="1"/>
          <w:bCs w:val="1"/>
          <w:sz w:val="21"/>
          <w:szCs w:val="21"/>
        </w:rPr>
        <w:t xml:space="preserve">INFORMATION CLAUSE OF THE MANAGING AUTHORITY - THE MINISTER RESPONSIBLE FOR REGIONAL DEVELOPMENT</w:t>
      </w:r>
    </w:p>
    <w:p xmlns:wp14="http://schemas.microsoft.com/office/word/2010/wordml" w:rsidRPr="00765E87" w:rsidR="00765E87" w:rsidP="00765E87" w:rsidRDefault="00765E87" wp14:paraId="0A37501D" wp14:textId="77777777">
      <w:pPr>
        <w:tabs>
          <w:tab w:val="left" w:pos="900"/>
        </w:tabs>
        <w:spacing w:after="0" w:line="259" w:lineRule="auto"/>
        <w:jc w:val="both"/>
        <w:rPr>
          <w:rFonts w:asciiTheme="majorHAnsi" w:hAnsiTheme="majorHAnsi" w:eastAsiaTheme="majorEastAsia" w:cstheme="majorHAnsi"/>
          <w:b/>
          <w:bCs/>
          <w:sz w:val="21"/>
          <w:szCs w:val="21"/>
        </w:rPr>
      </w:pPr>
    </w:p>
    <w:p>
      <w:p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In order to comply with the obligation imposed by Articles 13 and 14 of RODO</w:t>
      </w:r>
      <w:hyperlink w:history="1" w:anchor="_ftn1" r:id="rId7">
        <w:r w:rsidRPr="00765E87">
          <w:rPr>
            <w:rStyle w:val="Hipercze"/>
            <w:rFonts w:eastAsia="Calibri" w:asciiTheme="majorHAnsi" w:hAnsiTheme="majorHAnsi" w:cstheme="majorHAnsi"/>
            <w:sz w:val="21"/>
            <w:szCs w:val="21"/>
            <w:vertAlign w:val="superscript"/>
          </w:rPr>
          <w:t xml:space="preserve">[1]</w:t>
        </w:r>
      </w:hyperlink>
      <w:r w:rsidRPr="00765E87">
        <w:rPr>
          <w:rFonts w:asciiTheme="majorHAnsi" w:hAnsiTheme="majorHAnsi" w:eastAsiaTheme="majorEastAsia" w:cstheme="majorHAnsi"/>
          <w:sz w:val="21"/>
          <w:szCs w:val="21"/>
        </w:rPr>
        <w:t xml:space="preserve">, in connection with Article 88 of the Act on the principles of implementation of tasks financed from European funds in the financial perspective 2021-2027</w:t>
      </w:r>
      <w:hyperlink w:history="1" w:anchor="_ftn2" r:id="rId8">
        <w:r w:rsidRPr="00765E87">
          <w:rPr>
            <w:rStyle w:val="Hipercze"/>
            <w:rFonts w:eastAsia="Calibri" w:asciiTheme="majorHAnsi" w:hAnsiTheme="majorHAnsi" w:cstheme="majorHAnsi"/>
            <w:sz w:val="21"/>
            <w:szCs w:val="21"/>
            <w:vertAlign w:val="superscript"/>
          </w:rPr>
          <w:t xml:space="preserve">[2]</w:t>
        </w:r>
      </w:hyperlink>
      <w:r w:rsidRPr="00765E87">
        <w:rPr>
          <w:rFonts w:asciiTheme="majorHAnsi" w:hAnsiTheme="majorHAnsi" w:eastAsiaTheme="majorEastAsia" w:cstheme="majorHAnsi"/>
          <w:sz w:val="21"/>
          <w:szCs w:val="21"/>
        </w:rPr>
        <w:t xml:space="preserve">, we inform you about the principles of processing your personal data:</w:t>
      </w:r>
    </w:p>
    <w:p xmlns:wp14="http://schemas.microsoft.com/office/word/2010/wordml" w:rsidRPr="00765E87" w:rsidR="00765E87" w:rsidP="00765E87" w:rsidRDefault="00765E87" wp14:paraId="5DAB6C7B" wp14:textId="77777777">
      <w:pPr>
        <w:spacing w:after="0" w:line="259" w:lineRule="auto"/>
        <w:jc w:val="both"/>
        <w:rPr>
          <w:rFonts w:asciiTheme="majorHAnsi" w:hAnsiTheme="majorHAnsi" w:eastAsiaTheme="majorEastAsia" w:cstheme="majorHAnsi"/>
          <w:sz w:val="21"/>
          <w:szCs w:val="21"/>
        </w:rPr>
      </w:pPr>
    </w:p>
    <w:p>
      <w:pPr>
        <w:pStyle w:val="Akapitzlist"/>
        <w:numPr>
          <w:ilvl w:val="0"/>
          <w:numId w:val="11"/>
        </w:numPr>
        <w:spacing w:after="0" w:line="259" w:lineRule="auto"/>
        <w:jc w:val="both"/>
        <w:rPr>
          <w:rFonts w:asciiTheme="majorHAnsi" w:hAnsiTheme="majorHAnsi" w:eastAsiaTheme="majorEastAsia" w:cstheme="majorHAnsi"/>
          <w:b/>
          <w:bCs/>
          <w:sz w:val="21"/>
          <w:szCs w:val="21"/>
        </w:rPr>
      </w:pPr>
      <w:r w:rsidRPr="00765E87">
        <w:rPr>
          <w:rFonts w:asciiTheme="majorHAnsi" w:hAnsiTheme="majorHAnsi" w:eastAsiaTheme="majorEastAsia" w:cstheme="majorHAnsi"/>
          <w:b/>
          <w:bCs/>
          <w:sz w:val="21"/>
          <w:szCs w:val="21"/>
        </w:rPr>
        <w:t xml:space="preserve">Administrator</w:t>
      </w:r>
    </w:p>
    <w:p>
      <w:p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A separate controller of your data is the Minister responsible for regional development with its seat at 2/4 Wspólna Street, 00-926 Warsaw.</w:t>
      </w:r>
    </w:p>
    <w:p xmlns:wp14="http://schemas.microsoft.com/office/word/2010/wordml" w:rsidRPr="00765E87" w:rsidR="00765E87" w:rsidP="00765E87" w:rsidRDefault="00765E87" wp14:paraId="02EB378F" wp14:textId="77777777">
      <w:pPr>
        <w:spacing w:after="0" w:line="259" w:lineRule="auto"/>
        <w:jc w:val="both"/>
        <w:rPr>
          <w:rFonts w:asciiTheme="majorHAnsi" w:hAnsiTheme="majorHAnsi" w:eastAsiaTheme="majorEastAsia" w:cstheme="majorHAnsi"/>
          <w:sz w:val="21"/>
          <w:szCs w:val="21"/>
        </w:rPr>
      </w:pPr>
    </w:p>
    <w:p>
      <w:pPr>
        <w:pStyle w:val="Akapitzlist"/>
        <w:numPr>
          <w:ilvl w:val="0"/>
          <w:numId w:val="11"/>
        </w:numPr>
        <w:spacing w:after="0" w:line="259" w:lineRule="auto"/>
        <w:jc w:val="both"/>
        <w:rPr>
          <w:rFonts w:asciiTheme="majorHAnsi" w:hAnsiTheme="majorHAnsi" w:eastAsiaTheme="majorEastAsia" w:cstheme="majorHAnsi"/>
          <w:b/>
          <w:bCs/>
          <w:sz w:val="21"/>
          <w:szCs w:val="21"/>
        </w:rPr>
      </w:pPr>
      <w:r w:rsidRPr="00765E87">
        <w:rPr>
          <w:rFonts w:asciiTheme="majorHAnsi" w:hAnsiTheme="majorHAnsi" w:eastAsiaTheme="majorEastAsia" w:cstheme="majorHAnsi"/>
          <w:b/>
          <w:bCs/>
          <w:sz w:val="21"/>
          <w:szCs w:val="21"/>
        </w:rPr>
        <w:t xml:space="preserve">Purpose of data processing</w:t>
      </w:r>
    </w:p>
    <w:p>
      <w:p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Personal data will be processed in connection with the implementation of FERS, in particular for monitoring, reporting, communication, publication, evaluation, financial management, verification and audits, and for determining the eligibility of participants.</w:t>
      </w:r>
    </w:p>
    <w:p>
      <w:p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Provision of data is voluntary, but necessary for the above-mentioned purpose. Refusal to provide them is equivalent to the impossibility of taking appropriate action.</w:t>
      </w:r>
    </w:p>
    <w:p xmlns:wp14="http://schemas.microsoft.com/office/word/2010/wordml" w:rsidRPr="00765E87" w:rsidR="00765E87" w:rsidP="00765E87" w:rsidRDefault="00765E87" wp14:paraId="6A05A809" wp14:textId="77777777">
      <w:pPr>
        <w:spacing w:after="0" w:line="259" w:lineRule="auto"/>
        <w:jc w:val="both"/>
        <w:rPr>
          <w:rFonts w:asciiTheme="majorHAnsi" w:hAnsiTheme="majorHAnsi" w:eastAsiaTheme="majorEastAsia" w:cstheme="majorHAnsi"/>
          <w:sz w:val="21"/>
          <w:szCs w:val="21"/>
        </w:rPr>
      </w:pPr>
    </w:p>
    <w:p>
      <w:pPr>
        <w:pStyle w:val="Akapitzlist"/>
        <w:numPr>
          <w:ilvl w:val="0"/>
          <w:numId w:val="11"/>
        </w:numPr>
        <w:spacing w:after="0" w:line="259" w:lineRule="auto"/>
        <w:jc w:val="both"/>
        <w:rPr>
          <w:rFonts w:asciiTheme="majorHAnsi" w:hAnsiTheme="majorHAnsi" w:eastAsiaTheme="majorEastAsia" w:cstheme="majorHAnsi"/>
          <w:b/>
          <w:bCs/>
          <w:sz w:val="21"/>
          <w:szCs w:val="21"/>
        </w:rPr>
      </w:pPr>
      <w:r w:rsidRPr="00765E87">
        <w:rPr>
          <w:rFonts w:asciiTheme="majorHAnsi" w:hAnsiTheme="majorHAnsi" w:eastAsiaTheme="majorEastAsia" w:cstheme="majorHAnsi"/>
          <w:b/>
          <w:bCs/>
          <w:sz w:val="21"/>
          <w:szCs w:val="21"/>
        </w:rPr>
        <w:t xml:space="preserve">Basis for processing </w:t>
      </w:r>
    </w:p>
    <w:p>
      <w:p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We will process your personal data in connection with: </w:t>
      </w:r>
    </w:p>
    <w:p>
      <w:pPr>
        <w:pStyle w:val="Akapitzlist"/>
        <w:numPr>
          <w:ilvl w:val="0"/>
          <w:numId w:val="10"/>
        </w:num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We are obliged to do so </w:t>
      </w:r>
      <w:r w:rsidRPr="00765E87">
        <w:rPr>
          <w:rFonts w:asciiTheme="majorHAnsi" w:hAnsiTheme="majorHAnsi" w:eastAsiaTheme="majorEastAsia" w:cstheme="majorHAnsi"/>
          <w:b/>
          <w:bCs/>
          <w:sz w:val="21"/>
          <w:szCs w:val="21"/>
        </w:rPr>
        <w:t xml:space="preserve">by law </w:t>
      </w:r>
      <w:r w:rsidRPr="00765E87">
        <w:rPr>
          <w:rFonts w:asciiTheme="majorHAnsi" w:hAnsiTheme="majorHAnsi" w:eastAsiaTheme="majorEastAsia" w:cstheme="majorHAnsi"/>
          <w:sz w:val="21"/>
          <w:szCs w:val="21"/>
        </w:rPr>
        <w:t xml:space="preserve">(Article 6(1)(c), Article 9(2)(g) and Article 10 of the</w:t>
      </w:r>
      <w:hyperlink w:history="1" w:anchor="_ftn3" r:id="rId9">
        <w:r w:rsidRPr="00765E87">
          <w:rPr>
            <w:rStyle w:val="Hipercze"/>
            <w:rFonts w:eastAsia="Calibri" w:asciiTheme="majorHAnsi" w:hAnsiTheme="majorHAnsi" w:cstheme="majorHAnsi"/>
            <w:sz w:val="21"/>
            <w:szCs w:val="21"/>
            <w:vertAlign w:val="superscript"/>
          </w:rPr>
          <w:t xml:space="preserve">[3]</w:t>
        </w:r>
      </w:hyperlink>
      <w:r w:rsidRPr="00765E87">
        <w:rPr>
          <w:rFonts w:asciiTheme="majorHAnsi" w:hAnsiTheme="majorHAnsi" w:eastAsiaTheme="majorEastAsia" w:cstheme="majorHAnsi"/>
          <w:sz w:val="21"/>
          <w:szCs w:val="21"/>
        </w:rPr>
        <w:t xml:space="preserve"> RODO)</w:t>
      </w:r>
      <w:hyperlink w:history="1" w:anchor="_ftn4" r:id="rId10">
        <w:r w:rsidRPr="00765E87">
          <w:rPr>
            <w:rStyle w:val="Hipercze"/>
            <w:rFonts w:eastAsia="Calibri" w:asciiTheme="majorHAnsi" w:hAnsiTheme="majorHAnsi" w:cstheme="majorHAnsi"/>
            <w:sz w:val="21"/>
            <w:szCs w:val="21"/>
            <w:vertAlign w:val="superscript"/>
          </w:rPr>
          <w:t xml:space="preserve">[4]</w:t>
        </w:r>
      </w:hyperlink>
      <w:r w:rsidRPr="00765E87">
        <w:rPr>
          <w:rFonts w:asciiTheme="majorHAnsi" w:hAnsiTheme="majorHAnsi" w:eastAsiaTheme="majorEastAsia" w:cstheme="majorHAnsi"/>
          <w:sz w:val="21"/>
          <w:szCs w:val="21"/>
        </w:rPr>
        <w:t xml:space="preserve">:</w:t>
      </w:r>
    </w:p>
    <w:p>
      <w:pPr>
        <w:pStyle w:val="Akapitzlist"/>
        <w:numPr>
          <w:ilvl w:val="0"/>
          <w:numId w:val="9"/>
        </w:num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Regulation (EU) No. 2021/1060 of the European Parliament and of the Council of 24 June 2021 laying down common provisions on the European Regional Development Fund, the European Social Fund Plus, the Cohesion Fund, the Fair Transition Fund and the European Maritime, Fisheries and Aquaculture Fund and the financial rules for these Funds and for the Asylum, Migration and Integration Fund, the Internal Security Fund and the Financial Support Facility for Border Management and Visa Policy,</w:t>
      </w:r>
    </w:p>
    <w:p>
      <w:pPr>
        <w:pStyle w:val="Akapitzlist"/>
        <w:numPr>
          <w:ilvl w:val="0"/>
          <w:numId w:val="9"/>
        </w:num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Regulation (EU) 2021/1057 of the European Parliament and of the Council of 24 June 2021 establishing the European Social Fund Plus (ESF+) and repealing Regulation (EU) No. 1296/2013 (Official Journal of the EU L 231, 30.06.2021, p. 21, as </w:t>
      </w:r>
      <w:r w:rsidRPr="00765E87">
        <w:rPr>
          <w:rFonts w:asciiTheme="majorHAnsi" w:hAnsiTheme="majorHAnsi" w:eastAsiaTheme="majorEastAsia" w:cstheme="majorHAnsi"/>
          <w:sz w:val="21"/>
          <w:szCs w:val="21"/>
        </w:rPr>
        <w:t xml:space="preserve">amended).</w:t>
      </w:r>
    </w:p>
    <w:p>
      <w:pPr>
        <w:pStyle w:val="Akapitzlist"/>
        <w:numPr>
          <w:ilvl w:val="0"/>
          <w:numId w:val="9"/>
        </w:num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Law of April 28, 2022 on the principles of implementation of tasks financed from European funds in the financial perspective 2021-2027, in particular Articles 87-93,</w:t>
      </w:r>
    </w:p>
    <w:p>
      <w:pPr>
        <w:pStyle w:val="Akapitzlist"/>
        <w:numPr>
          <w:ilvl w:val="0"/>
          <w:numId w:val="9"/>
        </w:num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Law of June 14, 1960. - Administrative Procedure Code,</w:t>
      </w:r>
    </w:p>
    <w:p>
      <w:pPr>
        <w:pStyle w:val="Akapitzlist"/>
        <w:numPr>
          <w:ilvl w:val="0"/>
          <w:numId w:val="9"/>
        </w:num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Law of August 27, 2009 on public finance. </w:t>
      </w:r>
    </w:p>
    <w:p xmlns:wp14="http://schemas.microsoft.com/office/word/2010/wordml" w:rsidRPr="00765E87" w:rsidR="00765E87" w:rsidP="00765E87" w:rsidRDefault="00765E87" wp14:paraId="5A39BBE3" wp14:textId="77777777">
      <w:pPr>
        <w:pStyle w:val="Akapitzlist"/>
        <w:spacing w:after="0" w:line="259" w:lineRule="auto"/>
        <w:jc w:val="both"/>
        <w:rPr>
          <w:rFonts w:asciiTheme="majorHAnsi" w:hAnsiTheme="majorHAnsi" w:eastAsiaTheme="majorEastAsia" w:cstheme="majorHAnsi"/>
          <w:sz w:val="21"/>
          <w:szCs w:val="21"/>
        </w:rPr>
      </w:pPr>
    </w:p>
    <w:p>
      <w:pPr>
        <w:pStyle w:val="Normalny"/>
        <w:numPr>
          <w:ilvl w:val="0"/>
          <w:numId w:val="11"/>
        </w:numPr>
        <w:spacing w:after="0" w:line="259" w:lineRule="auto"/>
        <w:jc w:val="both"/>
        <w:rPr>
          <w:rFonts w:ascii="Calibri Light" w:hAnsi="Calibri Light" w:eastAsia="" w:cs="Calibri Light" w:asciiTheme="majorAscii" w:hAnsiTheme="majorAscii" w:eastAsiaTheme="majorEastAsia" w:cstheme="majorAscii"/>
          <w:b w:val="1"/>
          <w:bCs w:val="1"/>
          <w:sz w:val="21"/>
          <w:szCs w:val="21"/>
        </w:rPr>
      </w:pPr>
      <w:r w:rsidRPr="54F83198" w:rsidR="00765E87">
        <w:rPr>
          <w:rFonts w:ascii="Calibri Light" w:hAnsi="Calibri Light" w:eastAsia="" w:cs="Calibri Light" w:asciiTheme="majorAscii" w:hAnsiTheme="majorAscii" w:eastAsiaTheme="majorEastAsia" w:cstheme="majorAscii"/>
          <w:b w:val="1"/>
          <w:bCs w:val="1"/>
          <w:sz w:val="21"/>
          <w:szCs w:val="21"/>
        </w:rPr>
        <w:t xml:space="preserve">Method of data acquisition </w:t>
      </w:r>
    </w:p>
    <w:p>
      <w:p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We obtain data directly from the data subjects or from institutions and entities involved in the implementation of the Program, including in particular applicants, beneficiaries, partners. </w:t>
      </w:r>
    </w:p>
    <w:p xmlns:wp14="http://schemas.microsoft.com/office/word/2010/wordml" w:rsidRPr="00765E87" w:rsidR="00765E87" w:rsidP="00765E87" w:rsidRDefault="00765E87" wp14:paraId="72A3D3EC" wp14:textId="77777777">
      <w:pPr>
        <w:spacing w:after="0" w:line="259" w:lineRule="auto"/>
        <w:jc w:val="both"/>
        <w:rPr>
          <w:rFonts w:asciiTheme="majorHAnsi" w:hAnsiTheme="majorHAnsi" w:eastAsiaTheme="majorEastAsia" w:cstheme="majorHAnsi"/>
          <w:sz w:val="21"/>
          <w:szCs w:val="21"/>
        </w:rPr>
      </w:pPr>
    </w:p>
    <w:p>
      <w:pPr>
        <w:pStyle w:val="Akapitzlist"/>
        <w:numPr>
          <w:ilvl w:val="0"/>
          <w:numId w:val="11"/>
        </w:numPr>
        <w:spacing w:after="0" w:line="259" w:lineRule="auto"/>
        <w:jc w:val="both"/>
        <w:rPr>
          <w:rFonts w:asciiTheme="majorHAnsi" w:hAnsiTheme="majorHAnsi" w:eastAsiaTheme="majorEastAsia" w:cstheme="majorHAnsi"/>
          <w:b/>
          <w:bCs/>
          <w:sz w:val="21"/>
          <w:szCs w:val="21"/>
        </w:rPr>
      </w:pPr>
      <w:r w:rsidRPr="00765E87">
        <w:rPr>
          <w:rFonts w:asciiTheme="majorHAnsi" w:hAnsiTheme="majorHAnsi" w:eastAsiaTheme="majorEastAsia" w:cstheme="majorHAnsi"/>
          <w:b/>
          <w:bCs/>
          <w:sz w:val="21"/>
          <w:szCs w:val="21"/>
        </w:rPr>
        <w:t xml:space="preserve">Access to personal data</w:t>
      </w:r>
    </w:p>
    <w:p>
      <w:p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Your personal data can be accessed by employees and associates of the administrator. In addition, your personal data may be entrusted to or shared with: </w:t>
      </w:r>
    </w:p>
    <w:p>
      <w:pPr>
        <w:pStyle w:val="Akapitzlist"/>
        <w:numPr>
          <w:ilvl w:val="0"/>
          <w:numId w:val="8"/>
        </w:numPr>
        <w:spacing w:after="0" w:line="259" w:lineRule="auto"/>
        <w:ind w:start="714" w:hanging="357"/>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entities we have contracted to perform tasks in FERS,</w:t>
      </w:r>
    </w:p>
    <w:p>
      <w:pPr>
        <w:pStyle w:val="Akapitzlist"/>
        <w:numPr>
          <w:ilvl w:val="0"/>
          <w:numId w:val="8"/>
        </w:numPr>
        <w:spacing w:after="0" w:line="259" w:lineRule="auto"/>
        <w:ind w:start="714" w:hanging="357"/>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bodies of the European Commission, the minister in charge of public finance, the president of the social security institution, </w:t>
      </w:r>
    </w:p>
    <w:p>
      <w:pPr>
        <w:pStyle w:val="Akapitzlist"/>
        <w:numPr>
          <w:ilvl w:val="0"/>
          <w:numId w:val="8"/>
        </w:numPr>
        <w:spacing w:after="0" w:line="259" w:lineRule="auto"/>
        <w:ind w:start="714" w:hanging="357"/>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entities that perform services for us related to the operation and development of ICT systems, as well as the provision of connectivity, such as IT solution providers and telecommunications operators.</w:t>
      </w:r>
    </w:p>
    <w:p xmlns:wp14="http://schemas.microsoft.com/office/word/2010/wordml" w:rsidRPr="00765E87" w:rsidR="00765E87" w:rsidP="00765E87" w:rsidRDefault="00765E87" wp14:paraId="0D0B940D" wp14:textId="77777777">
      <w:pPr>
        <w:pStyle w:val="Akapitzlist"/>
        <w:spacing w:after="0" w:line="259" w:lineRule="auto"/>
        <w:ind w:start="714"/>
        <w:jc w:val="both"/>
        <w:rPr>
          <w:rFonts w:asciiTheme="majorHAnsi" w:hAnsiTheme="majorHAnsi" w:eastAsiaTheme="majorEastAsia" w:cstheme="majorHAnsi"/>
          <w:sz w:val="21"/>
          <w:szCs w:val="21"/>
        </w:rPr>
      </w:pPr>
    </w:p>
    <w:p>
      <w:pPr>
        <w:pStyle w:val="Akapitzlist"/>
        <w:numPr>
          <w:ilvl w:val="0"/>
          <w:numId w:val="11"/>
        </w:numPr>
        <w:spacing w:after="0" w:line="259" w:lineRule="auto"/>
        <w:jc w:val="both"/>
        <w:rPr>
          <w:rFonts w:asciiTheme="majorHAnsi" w:hAnsiTheme="majorHAnsi" w:eastAsiaTheme="majorEastAsia" w:cstheme="majorHAnsi"/>
          <w:b/>
          <w:bCs/>
          <w:sz w:val="21"/>
          <w:szCs w:val="21"/>
        </w:rPr>
      </w:pPr>
      <w:r w:rsidRPr="00765E87">
        <w:rPr>
          <w:rFonts w:asciiTheme="majorHAnsi" w:hAnsiTheme="majorHAnsi" w:eastAsiaTheme="majorEastAsia" w:cstheme="majorHAnsi"/>
          <w:b/>
          <w:bCs/>
          <w:sz w:val="21"/>
          <w:szCs w:val="21"/>
        </w:rPr>
        <w:t xml:space="preserve">Data retention period </w:t>
      </w:r>
    </w:p>
    <w:p>
      <w:p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Personal data is retained for the period necessary to fulfill the purposes specified in Section II. </w:t>
      </w:r>
    </w:p>
    <w:p xmlns:wp14="http://schemas.microsoft.com/office/word/2010/wordml" w:rsidRPr="00765E87" w:rsidR="00765E87" w:rsidP="00765E87" w:rsidRDefault="00765E87" wp14:paraId="0E27B00A" wp14:textId="77777777">
      <w:pPr>
        <w:spacing w:after="0" w:line="259" w:lineRule="auto"/>
        <w:jc w:val="both"/>
        <w:rPr>
          <w:rFonts w:asciiTheme="majorHAnsi" w:hAnsiTheme="majorHAnsi" w:eastAsiaTheme="majorEastAsia" w:cstheme="majorHAnsi"/>
          <w:sz w:val="21"/>
          <w:szCs w:val="21"/>
        </w:rPr>
      </w:pPr>
    </w:p>
    <w:p>
      <w:pPr>
        <w:pStyle w:val="Akapitzlist"/>
        <w:numPr>
          <w:ilvl w:val="0"/>
          <w:numId w:val="11"/>
        </w:numPr>
        <w:spacing w:after="0" w:line="259" w:lineRule="auto"/>
        <w:jc w:val="both"/>
        <w:rPr>
          <w:rFonts w:asciiTheme="majorHAnsi" w:hAnsiTheme="majorHAnsi" w:eastAsiaTheme="majorEastAsia" w:cstheme="majorHAnsi"/>
          <w:b/>
          <w:bCs/>
          <w:sz w:val="21"/>
          <w:szCs w:val="21"/>
        </w:rPr>
      </w:pPr>
      <w:r w:rsidRPr="00765E87">
        <w:rPr>
          <w:rFonts w:asciiTheme="majorHAnsi" w:hAnsiTheme="majorHAnsi" w:eastAsiaTheme="majorEastAsia" w:cstheme="majorHAnsi"/>
          <w:b/>
          <w:bCs/>
          <w:sz w:val="21"/>
          <w:szCs w:val="21"/>
        </w:rPr>
        <w:t xml:space="preserve">Rights of data subjects</w:t>
      </w:r>
    </w:p>
    <w:p>
      <w:p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You are entitled to the following rights: </w:t>
      </w:r>
    </w:p>
    <w:p>
      <w:pPr>
        <w:pStyle w:val="Akapitzlist"/>
        <w:numPr>
          <w:ilvl w:val="0"/>
          <w:numId w:val="6"/>
        </w:numPr>
        <w:spacing w:after="0" w:line="259" w:lineRule="auto"/>
        <w:ind w:start="714" w:hanging="357"/>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The right to access your data and to receive a copy of it (Article 15 RODO),</w:t>
      </w:r>
    </w:p>
    <w:p>
      <w:pPr>
        <w:pStyle w:val="Nagwek2"/>
        <w:keepLines w:val="0"/>
        <w:widowControl w:val="0"/>
        <w:numPr>
          <w:ilvl w:val="0"/>
          <w:numId w:val="6"/>
        </w:numPr>
        <w:adjustRightInd w:val="0"/>
        <w:spacing w:before="0" w:line="259" w:lineRule="auto"/>
        <w:ind w:start="714" w:hanging="357"/>
        <w:jc w:val="both"/>
        <w:textAlignment w:val="baseline"/>
        <w:rPr>
          <w:rFonts w:cstheme="majorHAnsi"/>
          <w:sz w:val="21"/>
          <w:szCs w:val="21"/>
        </w:rPr>
      </w:pPr>
      <w:r w:rsidRPr="00765E87">
        <w:rPr>
          <w:rFonts w:cstheme="majorHAnsi"/>
          <w:sz w:val="21"/>
          <w:szCs w:val="21"/>
        </w:rPr>
        <w:t xml:space="preserve">The right to rectify your data (Article 16 of the RODO),  </w:t>
      </w:r>
    </w:p>
    <w:p>
      <w:pPr>
        <w:pStyle w:val="Nagwek2"/>
        <w:keepLines w:val="0"/>
        <w:widowControl w:val="0"/>
        <w:numPr>
          <w:ilvl w:val="0"/>
          <w:numId w:val="6"/>
        </w:numPr>
        <w:adjustRightInd w:val="0"/>
        <w:spacing w:before="0" w:line="259" w:lineRule="auto"/>
        <w:ind w:start="714" w:hanging="357"/>
        <w:jc w:val="both"/>
        <w:textAlignment w:val="baseline"/>
        <w:rPr>
          <w:rFonts w:cstheme="majorHAnsi"/>
          <w:sz w:val="21"/>
          <w:szCs w:val="21"/>
        </w:rPr>
      </w:pPr>
      <w:r w:rsidRPr="00765E87">
        <w:rPr>
          <w:rFonts w:cstheme="majorHAnsi"/>
          <w:sz w:val="21"/>
          <w:szCs w:val="21"/>
        </w:rPr>
        <w:t xml:space="preserve">The right to erasure of your data (Article 17 RODO) - if the circumstances referred to in Article 17(3) RODO have not occurred,</w:t>
      </w:r>
    </w:p>
    <w:p>
      <w:pPr>
        <w:pStyle w:val="Nagwek2"/>
        <w:keepLines w:val="0"/>
        <w:widowControl w:val="0"/>
        <w:numPr>
          <w:ilvl w:val="0"/>
          <w:numId w:val="6"/>
        </w:numPr>
        <w:adjustRightInd w:val="0"/>
        <w:spacing w:before="0" w:line="259" w:lineRule="auto"/>
        <w:ind w:start="714" w:hanging="357"/>
        <w:jc w:val="both"/>
        <w:textAlignment w:val="baseline"/>
        <w:rPr>
          <w:rFonts w:cstheme="majorHAnsi"/>
          <w:sz w:val="21"/>
          <w:szCs w:val="21"/>
        </w:rPr>
      </w:pPr>
      <w:r w:rsidRPr="00765E87">
        <w:rPr>
          <w:rFonts w:cstheme="majorHAnsi"/>
          <w:sz w:val="21"/>
          <w:szCs w:val="21"/>
        </w:rPr>
        <w:t xml:space="preserve">The right to request the controller to restrict the processing of your data (Article 18 RODO),</w:t>
      </w:r>
    </w:p>
    <w:p>
      <w:pPr>
        <w:pStyle w:val="Nagwek2"/>
        <w:keepLines w:val="0"/>
        <w:widowControl w:val="0"/>
        <w:numPr>
          <w:ilvl w:val="0"/>
          <w:numId w:val="6"/>
        </w:numPr>
        <w:adjustRightInd w:val="0"/>
        <w:spacing w:before="0" w:line="259" w:lineRule="auto"/>
        <w:ind w:start="714" w:hanging="357"/>
        <w:jc w:val="both"/>
        <w:textAlignment w:val="baseline"/>
        <w:rPr>
          <w:rFonts w:cstheme="majorHAnsi"/>
          <w:sz w:val="21"/>
          <w:szCs w:val="21"/>
        </w:rPr>
      </w:pPr>
      <w:r w:rsidRPr="00765E87">
        <w:rPr>
          <w:rFonts w:cstheme="majorHAnsi"/>
          <w:sz w:val="21"/>
          <w:szCs w:val="21"/>
        </w:rPr>
        <w:t xml:space="preserve">The right to portability of your data (Article 20 RODO) - if the processing is carried out on the basis of a contract: for the purpose of its conclusion or performance (pursuant to Article 6(1)(b) RODO), and by automated means</w:t>
      </w:r>
      <w:hyperlink w:history="1" w:anchor="_ftn5" r:id="rId11">
        <w:r w:rsidRPr="00765E87">
          <w:rPr>
            <w:rStyle w:val="Hipercze"/>
            <w:rFonts w:eastAsia="Calibri" w:cstheme="majorHAnsi"/>
            <w:color w:val="auto"/>
            <w:sz w:val="21"/>
            <w:szCs w:val="21"/>
            <w:vertAlign w:val="superscript"/>
          </w:rPr>
          <w:t xml:space="preserve">[5]</w:t>
        </w:r>
      </w:hyperlink>
      <w:r w:rsidRPr="00765E87">
        <w:rPr>
          <w:rFonts w:cstheme="majorHAnsi"/>
          <w:sz w:val="21"/>
          <w:szCs w:val="21"/>
        </w:rPr>
        <w:t xml:space="preserve">,</w:t>
      </w:r>
    </w:p>
    <w:p>
      <w:pPr>
        <w:pStyle w:val="Nagwek2"/>
        <w:keepLines w:val="0"/>
        <w:widowControl w:val="0"/>
        <w:numPr>
          <w:ilvl w:val="0"/>
          <w:numId w:val="6"/>
        </w:numPr>
        <w:adjustRightInd w:val="0"/>
        <w:spacing w:before="0" w:line="259" w:lineRule="auto"/>
        <w:ind w:start="714" w:hanging="357"/>
        <w:jc w:val="both"/>
        <w:textAlignment w:val="baseline"/>
        <w:rPr>
          <w:rFonts w:cs="Calibri Light" w:cstheme="majorAscii"/>
          <w:sz w:val="21"/>
          <w:szCs w:val="21"/>
        </w:rPr>
      </w:pPr>
      <w:r w:rsidRPr="54F83198" w:rsidR="00765E87">
        <w:rPr>
          <w:rFonts w:cs="Calibri Light" w:cstheme="majorAscii"/>
          <w:sz w:val="21"/>
          <w:szCs w:val="21"/>
        </w:rPr>
        <w:t xml:space="preserve">The right to lodge a complaint to </w:t>
      </w:r>
      <w:r w:rsidRPr="54F83198" w:rsidR="00765E87">
        <w:rPr>
          <w:rFonts w:cs="Calibri Light" w:cstheme="majorAscii"/>
          <w:sz w:val="21"/>
          <w:szCs w:val="21"/>
        </w:rPr>
        <w:t xml:space="preserve">the supervisory </w:t>
      </w:r>
      <w:r w:rsidRPr="54F83198" w:rsidR="00765E87">
        <w:rPr>
          <w:rFonts w:cs="Calibri Light" w:cstheme="majorAscii"/>
          <w:sz w:val="21"/>
          <w:szCs w:val="21"/>
        </w:rPr>
        <w:t xml:space="preserve">authority of </w:t>
      </w:r>
      <w:r w:rsidRPr="54F83198" w:rsidR="00765E87">
        <w:rPr>
          <w:rFonts w:cs="Calibri Light" w:cstheme="majorAscii"/>
          <w:sz w:val="21"/>
          <w:szCs w:val="21"/>
        </w:rPr>
        <w:t xml:space="preserve">the President of the </w:t>
      </w:r>
      <w:r w:rsidRPr="54F83198" w:rsidR="00765E87">
        <w:rPr>
          <w:rFonts w:cs="Calibri Light" w:cstheme="majorAscii"/>
          <w:sz w:val="21"/>
          <w:szCs w:val="21"/>
        </w:rPr>
        <w:t xml:space="preserve">Office for Personal Data Protection (Article 77 of the RODO) - in case a person considers that the processing of his/her personal data violates the provisions of the RODO or other national regulations governing the protection of personal data applicable in Poland.</w:t>
      </w:r>
    </w:p>
    <w:p xmlns:wp14="http://schemas.microsoft.com/office/word/2010/wordml" w:rsidRPr="00765E87" w:rsidR="00765E87" w:rsidP="00765E87" w:rsidRDefault="00765E87" wp14:paraId="60061E4C" wp14:textId="77777777">
      <w:pPr>
        <w:jc w:val="both"/>
        <w:rPr>
          <w:sz w:val="21"/>
          <w:szCs w:val="21"/>
        </w:rPr>
      </w:pPr>
    </w:p>
    <w:p>
      <w:pPr>
        <w:pStyle w:val="Akapitzlist"/>
        <w:numPr>
          <w:ilvl w:val="0"/>
          <w:numId w:val="11"/>
        </w:numPr>
        <w:spacing w:after="0" w:line="259" w:lineRule="auto"/>
        <w:jc w:val="both"/>
        <w:rPr>
          <w:rFonts w:asciiTheme="majorHAnsi" w:hAnsiTheme="majorHAnsi" w:eastAsiaTheme="majorEastAsia" w:cstheme="majorHAnsi"/>
          <w:b/>
          <w:bCs/>
          <w:sz w:val="21"/>
          <w:szCs w:val="21"/>
        </w:rPr>
      </w:pPr>
      <w:r w:rsidRPr="00765E87">
        <w:rPr>
          <w:rFonts w:asciiTheme="majorHAnsi" w:hAnsiTheme="majorHAnsi" w:eastAsiaTheme="majorEastAsia" w:cstheme="majorHAnsi"/>
          <w:b/>
          <w:bCs/>
          <w:sz w:val="21"/>
          <w:szCs w:val="21"/>
        </w:rPr>
        <w:t xml:space="preserve">Automated decision-making</w:t>
      </w:r>
    </w:p>
    <w:p>
      <w:p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Personal data will not be subject to automated decision-making, including profiling.</w:t>
      </w:r>
    </w:p>
    <w:p xmlns:wp14="http://schemas.microsoft.com/office/word/2010/wordml" w:rsidRPr="00765E87" w:rsidR="00765E87" w:rsidP="00765E87" w:rsidRDefault="00765E87" wp14:paraId="44EAFD9C" wp14:textId="77777777">
      <w:pPr>
        <w:spacing w:after="0" w:line="259" w:lineRule="auto"/>
        <w:jc w:val="both"/>
        <w:rPr>
          <w:rFonts w:asciiTheme="majorHAnsi" w:hAnsiTheme="majorHAnsi" w:eastAsiaTheme="majorEastAsia" w:cstheme="majorHAnsi"/>
          <w:sz w:val="21"/>
          <w:szCs w:val="21"/>
        </w:rPr>
      </w:pPr>
    </w:p>
    <w:p>
      <w:pPr>
        <w:pStyle w:val="Akapitzlist"/>
        <w:numPr>
          <w:ilvl w:val="0"/>
          <w:numId w:val="11"/>
        </w:numPr>
        <w:spacing w:after="0" w:line="259" w:lineRule="auto"/>
        <w:jc w:val="both"/>
        <w:rPr>
          <w:rFonts w:asciiTheme="majorHAnsi" w:hAnsiTheme="majorHAnsi" w:eastAsiaTheme="majorEastAsia" w:cstheme="majorHAnsi"/>
          <w:b/>
          <w:bCs/>
          <w:sz w:val="21"/>
          <w:szCs w:val="21"/>
        </w:rPr>
      </w:pPr>
      <w:r w:rsidRPr="00765E87">
        <w:rPr>
          <w:rFonts w:asciiTheme="majorHAnsi" w:hAnsiTheme="majorHAnsi" w:eastAsiaTheme="majorEastAsia" w:cstheme="majorHAnsi"/>
          <w:b/>
          <w:bCs/>
          <w:sz w:val="21"/>
          <w:szCs w:val="21"/>
        </w:rPr>
        <w:t xml:space="preserve">Transfer of data to a third country</w:t>
      </w:r>
    </w:p>
    <w:p>
      <w:p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Your personal data will not be transferred to a third country.</w:t>
      </w:r>
    </w:p>
    <w:p xmlns:wp14="http://schemas.microsoft.com/office/word/2010/wordml" w:rsidRPr="00765E87" w:rsidR="00765E87" w:rsidP="00765E87" w:rsidRDefault="00765E87" wp14:paraId="4B94D5A5" wp14:textId="77777777">
      <w:pPr>
        <w:spacing w:after="0" w:line="259" w:lineRule="auto"/>
        <w:jc w:val="both"/>
        <w:rPr>
          <w:rFonts w:asciiTheme="majorHAnsi" w:hAnsiTheme="majorHAnsi" w:eastAsiaTheme="majorEastAsia" w:cstheme="majorHAnsi"/>
          <w:sz w:val="21"/>
          <w:szCs w:val="21"/>
        </w:rPr>
      </w:pPr>
    </w:p>
    <w:p>
      <w:pPr>
        <w:pStyle w:val="Akapitzlist"/>
        <w:numPr>
          <w:ilvl w:val="0"/>
          <w:numId w:val="11"/>
        </w:numPr>
        <w:spacing w:after="0" w:line="259" w:lineRule="auto"/>
        <w:jc w:val="both"/>
        <w:rPr>
          <w:rFonts w:asciiTheme="majorHAnsi" w:hAnsiTheme="majorHAnsi" w:eastAsiaTheme="majorEastAsia" w:cstheme="majorHAnsi"/>
          <w:b/>
          <w:bCs/>
          <w:sz w:val="21"/>
          <w:szCs w:val="21"/>
        </w:rPr>
      </w:pPr>
      <w:r w:rsidRPr="00765E87">
        <w:rPr>
          <w:rFonts w:asciiTheme="majorHAnsi" w:hAnsiTheme="majorHAnsi" w:eastAsiaTheme="majorEastAsia" w:cstheme="majorHAnsi"/>
          <w:b/>
          <w:bCs/>
          <w:sz w:val="21"/>
          <w:szCs w:val="21"/>
        </w:rPr>
        <w:t xml:space="preserve">Contact with the data controller and Data Protection Officer</w:t>
      </w:r>
    </w:p>
    <w:p>
      <w:p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If you have questions about the processing of personal data by the Minister of Regional Development, please contact the Data Protection Officer (DPO) as follows:</w:t>
      </w:r>
    </w:p>
    <w:p>
      <w:pPr>
        <w:pStyle w:val="Akapitzlist"/>
        <w:numPr>
          <w:ilvl w:val="0"/>
          <w:numId w:val="7"/>
        </w:num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By regular mail (Wspólna 2/4, 00-926 Warsaw),</w:t>
      </w:r>
    </w:p>
    <w:p>
      <w:pPr>
        <w:pStyle w:val="Akapitzlist"/>
        <w:numPr>
          <w:ilvl w:val="0"/>
          <w:numId w:val="7"/>
        </w:numPr>
        <w:spacing w:after="0" w:line="259" w:lineRule="auto"/>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electronically (e-mail address: </w:t>
      </w:r>
      <w:r w:rsidRPr="00765E87">
        <w:rPr>
          <w:rFonts w:asciiTheme="majorHAnsi" w:hAnsiTheme="majorHAnsi" w:eastAsiaTheme="majorEastAsia" w:cstheme="majorHAnsi"/>
          <w:sz w:val="21"/>
          <w:szCs w:val="21"/>
        </w:rPr>
        <w:t xml:space="preserve">IOD@mfipr.gov.pl).</w:t>
      </w:r>
    </w:p>
    <w:p xmlns:wp14="http://schemas.microsoft.com/office/word/2010/wordml" w:rsidRPr="00765E87" w:rsidR="00765E87" w:rsidP="00765E87" w:rsidRDefault="00765E87" wp14:paraId="29D6B04F" wp14:textId="77777777">
      <w:pPr>
        <w:spacing w:after="0" w:line="259" w:lineRule="auto"/>
        <w:ind w:firstLine="708"/>
        <w:jc w:val="both"/>
        <w:rPr>
          <w:rFonts w:asciiTheme="majorHAnsi" w:hAnsiTheme="majorHAnsi" w:eastAsiaTheme="majorEastAsia" w:cstheme="majorHAnsi"/>
          <w:sz w:val="21"/>
          <w:szCs w:val="21"/>
        </w:rPr>
      </w:pPr>
      <w:r w:rsidRPr="00765E87">
        <w:rPr>
          <w:rFonts w:asciiTheme="majorHAnsi" w:hAnsiTheme="majorHAnsi" w:eastAsiaTheme="majorEastAsia" w:cstheme="majorHAnsi"/>
          <w:sz w:val="21"/>
          <w:szCs w:val="21"/>
        </w:rPr>
        <w:t xml:space="preserve"> </w:t>
      </w:r>
    </w:p>
    <w:p xmlns:wp14="http://schemas.microsoft.com/office/word/2010/wordml" w:rsidRPr="00765E87" w:rsidR="00765E87" w:rsidP="25C7C9B3" w:rsidRDefault="00765E87" wp14:paraId="3DEEC669" wp14:textId="77777777" wp14:noSpellErr="1">
      <w:pPr>
        <w:spacing w:after="0" w:line="259" w:lineRule="auto"/>
        <w:jc w:val="both"/>
        <w:rPr>
          <w:rFonts w:ascii="Calibri Light" w:hAnsi="Calibri Light" w:eastAsia="" w:cs="Calibri Light" w:asciiTheme="majorAscii" w:hAnsiTheme="majorAscii" w:eastAsiaTheme="majorEastAsia" w:cstheme="majorAscii"/>
          <w:sz w:val="21"/>
          <w:szCs w:val="21"/>
        </w:rPr>
      </w:pPr>
    </w:p>
    <w:p xmlns:wp14="http://schemas.microsoft.com/office/word/2010/wordml" w:rsidRPr="00765E87" w:rsidR="00765E87" w:rsidP="00765E87" w:rsidRDefault="00765E87" wp14:paraId="3656B9AB" wp14:textId="77777777">
      <w:pPr>
        <w:spacing w:after="0" w:line="259" w:lineRule="auto"/>
        <w:rPr>
          <w:rFonts w:asciiTheme="majorHAnsi" w:hAnsiTheme="majorHAnsi" w:eastAsiaTheme="majorEastAsia" w:cstheme="majorHAnsi"/>
          <w:sz w:val="23"/>
          <w:szCs w:val="23"/>
        </w:rPr>
      </w:pPr>
    </w:p>
    <w:p>
      <w:pPr>
        <w:spacing w:after="0" w:line="259" w:lineRule="auto"/>
        <w:rPr>
          <w:rFonts w:ascii="Calibri Light" w:hAnsi="Calibri Light" w:eastAsia="" w:cs="Calibri Light" w:asciiTheme="majorAscii" w:hAnsiTheme="majorAscii" w:eastAsiaTheme="majorEastAsia" w:cstheme="majorAscii"/>
          <w:sz w:val="21"/>
          <w:szCs w:val="21"/>
        </w:rPr>
      </w:pPr>
      <w:r w:rsidRPr="54F83198" w:rsidR="00765E87">
        <w:rPr>
          <w:rFonts w:ascii="Calibri Light" w:hAnsi="Calibri Light" w:eastAsia="" w:cs="Calibri Light" w:asciiTheme="majorAscii" w:hAnsiTheme="majorAscii" w:eastAsiaTheme="majorEastAsia" w:cstheme="majorAscii"/>
          <w:sz w:val="21"/>
          <w:szCs w:val="21"/>
        </w:rPr>
        <w:t xml:space="preserve">Signature of the project participant</w:t>
      </w:r>
    </w:p>
    <w:p>
      <w:pPr>
        <w:spacing w:after="0"/>
        <w:jc w:val="left"/>
        <w:rPr>
          <w:rFonts w:ascii="Calibri Light" w:hAnsi="Calibri Light" w:cs="Calibri Light" w:asciiTheme="majorAscii" w:hAnsiTheme="majorAscii" w:cstheme="majorAscii"/>
          <w:i w:val="1"/>
          <w:iCs w:val="1"/>
          <w:sz w:val="21"/>
          <w:szCs w:val="21"/>
        </w:rPr>
      </w:pPr>
      <w:r w:rsidRPr="54F83198" w:rsidR="00765E87">
        <w:rPr>
          <w:rFonts w:ascii="Calibri Light" w:hAnsi="Calibri Light" w:cs="Calibri Light" w:asciiTheme="majorAscii" w:hAnsiTheme="majorAscii" w:cstheme="majorAscii"/>
          <w:i w:val="1"/>
          <w:iCs w:val="1"/>
          <w:sz w:val="21"/>
          <w:szCs w:val="21"/>
        </w:rPr>
        <w:t xml:space="preserve">[signed: qualified electronic signature; trusted profile; handwritten signature; </w:t>
      </w:r>
      <w:r w:rsidRPr="54F83198" w:rsidR="00765E87">
        <w:rPr>
          <w:rFonts w:ascii="Calibri Light" w:hAnsi="Calibri Light" w:cs="Calibri Light" w:asciiTheme="majorAscii" w:hAnsiTheme="majorAscii" w:cstheme="majorAscii"/>
          <w:i w:val="1"/>
          <w:iCs w:val="1"/>
          <w:sz w:val="21"/>
          <w:szCs w:val="21"/>
        </w:rPr>
        <w:t xml:space="preserve">electronic </w:t>
      </w:r>
      <w:r w:rsidRPr="54F83198" w:rsidR="00765E87">
        <w:rPr>
          <w:rFonts w:ascii="Calibri Light" w:hAnsi="Calibri Light" w:cs="Calibri Light" w:asciiTheme="majorAscii" w:hAnsiTheme="majorAscii" w:cstheme="majorAscii"/>
          <w:i w:val="1"/>
          <w:iCs w:val="1"/>
          <w:sz w:val="21"/>
          <w:szCs w:val="21"/>
        </w:rPr>
        <w:t xml:space="preserve">authorization</w:t>
      </w:r>
      <w:r w:rsidRPr="54F83198" w:rsidR="004264F4">
        <w:rPr>
          <w:rFonts w:ascii="Calibri Light" w:hAnsi="Calibri Light" w:cs="Calibri Light" w:asciiTheme="majorAscii" w:hAnsiTheme="majorAscii" w:cstheme="majorAscii"/>
          <w:i w:val="1"/>
          <w:iCs w:val="1"/>
          <w:sz w:val="21"/>
          <w:szCs w:val="21"/>
        </w:rPr>
        <w:t xml:space="preserve">].</w:t>
      </w:r>
    </w:p>
    <w:p xmlns:wp14="http://schemas.microsoft.com/office/word/2010/wordml" w:rsidR="00F40084" w:rsidP="00765E87" w:rsidRDefault="00F40084" wp14:paraId="45FB0818" wp14:textId="77777777">
      <w:pPr>
        <w:spacing w:after="0"/>
        <w:jc w:val="center"/>
        <w:rPr>
          <w:rFonts w:asciiTheme="majorHAnsi" w:hAnsiTheme="majorHAnsi" w:cstheme="majorHAnsi"/>
          <w:i/>
          <w:sz w:val="23"/>
          <w:szCs w:val="23"/>
        </w:rPr>
      </w:pPr>
    </w:p>
    <w:p xmlns:wp14="http://schemas.microsoft.com/office/word/2010/wordml" w:rsidR="00F40084" w:rsidP="00765E87" w:rsidRDefault="00F40084" wp14:paraId="049F31CB" wp14:textId="77777777">
      <w:pPr>
        <w:spacing w:after="0"/>
        <w:jc w:val="center"/>
        <w:rPr>
          <w:rFonts w:asciiTheme="majorHAnsi" w:hAnsiTheme="majorHAnsi" w:cstheme="majorHAnsi"/>
          <w:i/>
          <w:sz w:val="23"/>
          <w:szCs w:val="23"/>
        </w:rPr>
      </w:pPr>
    </w:p>
    <w:p xmlns:wp14="http://schemas.microsoft.com/office/word/2010/wordml" w:rsidR="00F40084" w:rsidP="00765E87" w:rsidRDefault="00F40084" wp14:paraId="53128261" wp14:textId="77777777">
      <w:pPr>
        <w:spacing w:after="0"/>
        <w:jc w:val="center"/>
        <w:rPr>
          <w:rFonts w:asciiTheme="majorHAnsi" w:hAnsiTheme="majorHAnsi" w:cstheme="majorHAnsi"/>
          <w:i/>
          <w:sz w:val="23"/>
          <w:szCs w:val="23"/>
        </w:rPr>
      </w:pPr>
    </w:p>
    <w:p xmlns:wp14="http://schemas.microsoft.com/office/word/2010/wordml" w:rsidR="00F40084" w:rsidP="00765E87" w:rsidRDefault="00F40084" wp14:paraId="62486C05" wp14:textId="77777777">
      <w:pPr>
        <w:spacing w:after="0"/>
        <w:jc w:val="center"/>
        <w:rPr>
          <w:rFonts w:asciiTheme="majorHAnsi" w:hAnsiTheme="majorHAnsi" w:cstheme="majorHAnsi"/>
          <w:i/>
          <w:sz w:val="23"/>
          <w:szCs w:val="23"/>
        </w:rPr>
      </w:pPr>
    </w:p>
    <w:p xmlns:wp14="http://schemas.microsoft.com/office/word/2010/wordml" w:rsidRPr="00F40084" w:rsidR="00F40084" w:rsidP="00765E87" w:rsidRDefault="00F40084" wp14:paraId="4101652C" wp14:textId="77777777">
      <w:pPr>
        <w:spacing w:after="0"/>
        <w:jc w:val="center"/>
        <w:rPr>
          <w:rFonts w:asciiTheme="majorHAnsi" w:hAnsiTheme="majorHAnsi" w:cstheme="majorHAnsi"/>
          <w:i/>
          <w:sz w:val="21"/>
          <w:szCs w:val="21"/>
        </w:rPr>
      </w:pPr>
    </w:p>
    <w:p>
      <w:pPr>
        <w:spacing w:after="0" w:line="276" w:lineRule="auto"/>
        <w:jc w:val="center"/>
        <w:rPr>
          <w:rFonts w:asciiTheme="majorHAnsi" w:hAnsiTheme="majorHAnsi" w:eastAsiaTheme="majorEastAsia" w:cstheme="majorHAnsi"/>
          <w:b/>
          <w:bCs/>
          <w:sz w:val="21"/>
          <w:szCs w:val="21"/>
        </w:rPr>
      </w:pPr>
      <w:r w:rsidRPr="00F40084">
        <w:rPr>
          <w:rFonts w:asciiTheme="majorHAnsi" w:hAnsiTheme="majorHAnsi" w:eastAsiaTheme="majorEastAsia" w:cstheme="majorHAnsi"/>
          <w:b/>
          <w:bCs/>
          <w:sz w:val="21"/>
          <w:szCs w:val="21"/>
        </w:rPr>
        <w:t xml:space="preserve">INFORMATION CLAUSE OF THE INTERMEDIATE INSTITUTION - </w:t>
      </w:r>
    </w:p>
    <w:p>
      <w:pPr>
        <w:spacing w:after="0" w:line="276" w:lineRule="auto"/>
        <w:jc w:val="center"/>
        <w:rPr>
          <w:rFonts w:asciiTheme="majorHAnsi" w:hAnsiTheme="majorHAnsi" w:eastAsiaTheme="majorEastAsia" w:cstheme="majorHAnsi"/>
          <w:b/>
          <w:bCs/>
          <w:sz w:val="21"/>
          <w:szCs w:val="21"/>
        </w:rPr>
      </w:pPr>
      <w:r w:rsidRPr="00F40084">
        <w:rPr>
          <w:rFonts w:asciiTheme="majorHAnsi" w:hAnsiTheme="majorHAnsi" w:eastAsiaTheme="majorEastAsia" w:cstheme="majorHAnsi"/>
          <w:b/>
          <w:bCs/>
          <w:sz w:val="21"/>
          <w:szCs w:val="21"/>
        </w:rPr>
        <w:t xml:space="preserve">NATIONAL RESEARCH AND DEVELOPMENT CENTER</w:t>
      </w:r>
    </w:p>
    <w:p xmlns:wp14="http://schemas.microsoft.com/office/word/2010/wordml" w:rsidRPr="00F40084" w:rsidR="00F40084" w:rsidP="00F40084" w:rsidRDefault="00F40084" wp14:paraId="0A6959E7" wp14:textId="77777777">
      <w:pPr>
        <w:spacing w:after="0" w:line="276" w:lineRule="auto"/>
        <w:jc w:val="center"/>
        <w:rPr>
          <w:rFonts w:asciiTheme="majorHAnsi" w:hAnsiTheme="majorHAnsi" w:eastAsiaTheme="majorEastAsia" w:cstheme="majorHAnsi"/>
          <w:b/>
          <w:bCs/>
          <w:sz w:val="21"/>
          <w:szCs w:val="21"/>
        </w:rPr>
      </w:pPr>
      <w:r w:rsidRPr="00F40084">
        <w:rPr>
          <w:rFonts w:asciiTheme="majorHAnsi" w:hAnsiTheme="majorHAnsi" w:eastAsiaTheme="majorEastAsia" w:cstheme="majorHAnsi"/>
          <w:b/>
          <w:bCs/>
          <w:sz w:val="21"/>
          <w:szCs w:val="21"/>
        </w:rPr>
        <w:t xml:space="preserve"> </w:t>
      </w:r>
    </w:p>
    <w:p>
      <w:pPr>
        <w:spacing w:after="0" w:line="276" w:lineRule="auto"/>
        <w:jc w:val="both"/>
        <w:rPr>
          <w:rFonts w:eastAsia="Calibri" w:asciiTheme="majorHAnsi" w:hAnsiTheme="majorHAnsi" w:cstheme="majorHAnsi"/>
          <w:sz w:val="21"/>
          <w:szCs w:val="21"/>
        </w:rPr>
      </w:pPr>
      <w:r w:rsidRPr="00F40084">
        <w:rPr>
          <w:rFonts w:eastAsia="Calibri" w:asciiTheme="majorHAnsi" w:hAnsiTheme="majorHAnsi" w:cstheme="majorHAnsi"/>
          <w:sz w:val="21"/>
          <w:szCs w:val="21"/>
        </w:rPr>
        <w:t xml:space="preserve">Pursuant to Articles 13 and 14 of the Regulation of the European Parliament of April 27, 2016 on the protection of natural persons with regard to the processing of personal data and on the free movement of such data and repealing Directive 95/46/EC (hereinafter: "</w:t>
      </w:r>
      <w:r w:rsidRPr="00F40084">
        <w:rPr>
          <w:rFonts w:eastAsia="Calibri" w:asciiTheme="majorHAnsi" w:hAnsiTheme="majorHAnsi" w:cstheme="majorHAnsi"/>
          <w:b/>
          <w:bCs/>
          <w:sz w:val="21"/>
          <w:szCs w:val="21"/>
        </w:rPr>
        <w:t xml:space="preserve">RODO</w:t>
      </w:r>
      <w:r w:rsidRPr="00F40084">
        <w:rPr>
          <w:rFonts w:eastAsia="Calibri" w:asciiTheme="majorHAnsi" w:hAnsiTheme="majorHAnsi" w:cstheme="majorHAnsi"/>
          <w:sz w:val="21"/>
          <w:szCs w:val="21"/>
        </w:rPr>
        <w:t xml:space="preserve">"), I inform you that:</w:t>
      </w:r>
    </w:p>
    <w:p>
      <w:pPr>
        <w:pStyle w:val="Akapitzlist"/>
        <w:numPr>
          <w:ilvl w:val="0"/>
          <w:numId w:val="12"/>
        </w:numPr>
        <w:spacing w:after="0" w:line="259" w:lineRule="auto"/>
        <w:ind w:start="426" w:hanging="426"/>
        <w:jc w:val="both"/>
        <w:rPr>
          <w:rFonts w:eastAsia="Calibri Light" w:asciiTheme="majorHAnsi" w:hAnsiTheme="majorHAnsi" w:cstheme="majorHAnsi"/>
          <w:sz w:val="21"/>
          <w:szCs w:val="21"/>
        </w:rPr>
      </w:pPr>
      <w:r w:rsidRPr="00F40084">
        <w:rPr>
          <w:rFonts w:eastAsia="Calibri Light" w:asciiTheme="majorHAnsi" w:hAnsiTheme="majorHAnsi" w:cstheme="majorHAnsi"/>
          <w:sz w:val="21"/>
          <w:szCs w:val="21"/>
        </w:rPr>
        <w:t xml:space="preserve">The administrator of your personal data is the </w:t>
      </w:r>
      <w:r w:rsidRPr="00F40084">
        <w:rPr>
          <w:rFonts w:eastAsia="Calibri Light" w:asciiTheme="majorHAnsi" w:hAnsiTheme="majorHAnsi" w:cstheme="majorHAnsi"/>
          <w:b/>
          <w:bCs/>
          <w:sz w:val="21"/>
          <w:szCs w:val="21"/>
        </w:rPr>
        <w:t xml:space="preserve">National Center for Research and Development </w:t>
      </w:r>
      <w:r w:rsidRPr="00F40084">
        <w:rPr>
          <w:rFonts w:eastAsia="Calibri Light" w:asciiTheme="majorHAnsi" w:hAnsiTheme="majorHAnsi" w:cstheme="majorHAnsi"/>
          <w:sz w:val="21"/>
          <w:szCs w:val="21"/>
        </w:rPr>
        <w:t xml:space="preserve">(hereinafter: "</w:t>
      </w:r>
      <w:r w:rsidRPr="00F40084">
        <w:rPr>
          <w:rFonts w:eastAsia="Calibri Light" w:asciiTheme="majorHAnsi" w:hAnsiTheme="majorHAnsi" w:cstheme="majorHAnsi"/>
          <w:b/>
          <w:bCs/>
          <w:sz w:val="21"/>
          <w:szCs w:val="21"/>
        </w:rPr>
        <w:t xml:space="preserve">NCBR</w:t>
      </w:r>
      <w:r w:rsidRPr="00F40084">
        <w:rPr>
          <w:rFonts w:eastAsia="Calibri Light" w:asciiTheme="majorHAnsi" w:hAnsiTheme="majorHAnsi" w:cstheme="majorHAnsi"/>
          <w:sz w:val="21"/>
          <w:szCs w:val="21"/>
        </w:rPr>
        <w:t xml:space="preserve">") with its registered office in Warsaw (00-801), 69 Chmielna Street;</w:t>
      </w:r>
    </w:p>
    <w:p>
      <w:pPr>
        <w:pStyle w:val="Akapitzlist"/>
        <w:numPr>
          <w:ilvl w:val="0"/>
          <w:numId w:val="12"/>
        </w:numPr>
        <w:spacing w:after="0" w:line="259" w:lineRule="auto"/>
        <w:ind w:start="426" w:hanging="426"/>
        <w:jc w:val="both"/>
        <w:rPr>
          <w:rFonts w:eastAsia="Calibri Light" w:asciiTheme="majorHAnsi" w:hAnsiTheme="majorHAnsi" w:cstheme="majorHAnsi"/>
          <w:sz w:val="21"/>
          <w:szCs w:val="21"/>
        </w:rPr>
      </w:pPr>
      <w:r w:rsidRPr="00F40084">
        <w:rPr>
          <w:rFonts w:eastAsia="Calibri Light" w:asciiTheme="majorHAnsi" w:hAnsiTheme="majorHAnsi" w:cstheme="majorHAnsi"/>
          <w:sz w:val="21"/>
          <w:szCs w:val="21"/>
        </w:rPr>
        <w:t xml:space="preserve">The Data Protection Officer (DPO) can be contacted at e-mail address: </w:t>
      </w:r>
      <w:hyperlink w:history="1" r:id="rId13">
        <w:r w:rsidRPr="00F40084">
          <w:rPr>
            <w:rStyle w:val="Hipercze"/>
            <w:rFonts w:eastAsia="Calibri Light" w:asciiTheme="majorHAnsi" w:hAnsiTheme="majorHAnsi" w:cstheme="majorHAnsi"/>
            <w:sz w:val="21"/>
            <w:szCs w:val="21"/>
          </w:rPr>
          <w:t xml:space="preserve">iod@ncbr.gov.pl</w:t>
        </w:r>
      </w:hyperlink>
      <w:r w:rsidRPr="00F40084">
        <w:rPr>
          <w:rFonts w:eastAsia="Calibri Light" w:asciiTheme="majorHAnsi" w:hAnsiTheme="majorHAnsi" w:cstheme="majorHAnsi"/>
          <w:sz w:val="21"/>
          <w:szCs w:val="21"/>
        </w:rPr>
        <w:t xml:space="preserve"> and at the NCBR mailing address indicated above with the notation "Data Protection Officer";</w:t>
      </w:r>
    </w:p>
    <w:p>
      <w:pPr>
        <w:pStyle w:val="Akapitzlist"/>
        <w:numPr>
          <w:ilvl w:val="0"/>
          <w:numId w:val="12"/>
        </w:numPr>
        <w:spacing w:after="0" w:line="259" w:lineRule="auto"/>
        <w:ind w:start="426" w:hanging="426"/>
        <w:jc w:val="both"/>
        <w:rPr>
          <w:rFonts w:eastAsia="Calibri Light" w:asciiTheme="majorHAnsi" w:hAnsiTheme="majorHAnsi" w:cstheme="majorHAnsi"/>
          <w:sz w:val="21"/>
          <w:szCs w:val="21"/>
        </w:rPr>
      </w:pPr>
      <w:r w:rsidRPr="00F40084">
        <w:rPr>
          <w:rFonts w:eastAsia="Calibri Light" w:asciiTheme="majorHAnsi" w:hAnsiTheme="majorHAnsi" w:cstheme="majorHAnsi"/>
          <w:sz w:val="21"/>
          <w:szCs w:val="21"/>
        </w:rPr>
        <w:t xml:space="preserve">Personal data is processed for the purpose of implementing the project carried out under the European Funds for Social Development 2021-2027 ("</w:t>
      </w:r>
      <w:r w:rsidRPr="00F40084">
        <w:rPr>
          <w:rFonts w:eastAsia="Calibri Light" w:asciiTheme="majorHAnsi" w:hAnsiTheme="majorHAnsi" w:cstheme="majorHAnsi"/>
          <w:b/>
          <w:bCs/>
          <w:sz w:val="21"/>
          <w:szCs w:val="21"/>
        </w:rPr>
        <w:t xml:space="preserve">FERS</w:t>
      </w:r>
      <w:r w:rsidRPr="00F40084">
        <w:rPr>
          <w:rFonts w:eastAsia="Calibri Light" w:asciiTheme="majorHAnsi" w:hAnsiTheme="majorHAnsi" w:cstheme="majorHAnsi"/>
          <w:sz w:val="21"/>
          <w:szCs w:val="21"/>
        </w:rPr>
        <w:t xml:space="preserve">") </w:t>
      </w:r>
      <w:r w:rsidRPr="00F40084">
        <w:rPr>
          <w:rFonts w:eastAsia="Calibri Light" w:asciiTheme="majorHAnsi" w:hAnsiTheme="majorHAnsi" w:cstheme="majorHAnsi"/>
          <w:sz w:val="21"/>
          <w:szCs w:val="21"/>
        </w:rPr>
        <w:t xml:space="preserve">Program</w:t>
      </w:r>
      <w:r w:rsidRPr="00F40084">
        <w:rPr>
          <w:rFonts w:eastAsia="Calibri Light" w:asciiTheme="majorHAnsi" w:hAnsiTheme="majorHAnsi" w:cstheme="majorHAnsi"/>
          <w:sz w:val="21"/>
          <w:szCs w:val="21"/>
        </w:rPr>
        <w:t xml:space="preserve">, in particular for the purpose of project evaluation and selection, conclusion of a grant agreement, supervision of project implementation, reporting, communication, publication, evaluation, financial management, verification and control, audit, evaluation of information and promotion activities, its receipt, evaluation and financial settlement, for the purpose of determining the eligibility of participants and possible establishment, investigation or defense of claims;</w:t>
      </w:r>
    </w:p>
    <w:p>
      <w:pPr>
        <w:pStyle w:val="Akapitzlist"/>
        <w:numPr>
          <w:ilvl w:val="0"/>
          <w:numId w:val="12"/>
        </w:numPr>
        <w:spacing w:after="0" w:line="259" w:lineRule="auto"/>
        <w:ind w:start="426" w:hanging="426"/>
        <w:jc w:val="both"/>
        <w:rPr>
          <w:rFonts w:eastAsia="Calibri Light" w:asciiTheme="majorHAnsi" w:hAnsiTheme="majorHAnsi" w:cstheme="majorHAnsi"/>
          <w:sz w:val="21"/>
          <w:szCs w:val="21"/>
        </w:rPr>
      </w:pPr>
      <w:r w:rsidRPr="00F40084">
        <w:rPr>
          <w:rFonts w:eastAsia="Calibri Light" w:asciiTheme="majorHAnsi" w:hAnsiTheme="majorHAnsi" w:cstheme="majorHAnsi"/>
          <w:sz w:val="21"/>
          <w:szCs w:val="21"/>
        </w:rPr>
        <w:t xml:space="preserve">your personal data is processed due to the purpose indicated above, i.e. the processing is necessary for the performance of a task carried out in the public interest (Article 6(1)(e) RODO), and NCBR is authorized to process your personal data under the Act of April 30, 2010. on the National Center for Research and Development in connection with the implementation of NCBR's tasks specified therein, and under the Act of April 28, 2022 on the Principles of Implementation of Tasks Financed from European Funds in the Financial Perspective 2021-2027, in particular Chapter 18 of that Act (Article 6(1)(c) of the RODO); </w:t>
      </w:r>
    </w:p>
    <w:p>
      <w:pPr>
        <w:pStyle w:val="Akapitzlist"/>
        <w:numPr>
          <w:ilvl w:val="0"/>
          <w:numId w:val="12"/>
        </w:numPr>
        <w:spacing w:after="0" w:line="259" w:lineRule="auto"/>
        <w:ind w:start="426" w:hanging="426"/>
        <w:jc w:val="both"/>
        <w:rPr>
          <w:rFonts w:eastAsia="Calibri Light" w:asciiTheme="majorHAnsi" w:hAnsiTheme="majorHAnsi" w:cstheme="majorHAnsi"/>
          <w:sz w:val="21"/>
          <w:szCs w:val="21"/>
        </w:rPr>
      </w:pPr>
      <w:r w:rsidRPr="00F40084">
        <w:rPr>
          <w:rFonts w:eastAsia="Calibri Light" w:asciiTheme="majorHAnsi" w:hAnsiTheme="majorHAnsi" w:cstheme="majorHAnsi"/>
          <w:sz w:val="21"/>
          <w:szCs w:val="21"/>
        </w:rPr>
        <w:t xml:space="preserve">personal data was obtained directly from you or from public records or from institutions and entities involved in the implementation of the project, including in particular applicants, beneficiaries, partners;</w:t>
      </w:r>
    </w:p>
    <w:p>
      <w:pPr>
        <w:pStyle w:val="Akapitzlist"/>
        <w:numPr>
          <w:ilvl w:val="0"/>
          <w:numId w:val="12"/>
        </w:numPr>
        <w:spacing w:after="0" w:line="259" w:lineRule="auto"/>
        <w:ind w:start="426" w:hanging="426"/>
        <w:jc w:val="both"/>
        <w:rPr>
          <w:rFonts w:eastAsia="Calibri Light" w:asciiTheme="majorHAnsi" w:hAnsiTheme="majorHAnsi" w:cstheme="majorHAnsi"/>
          <w:sz w:val="21"/>
          <w:szCs w:val="21"/>
        </w:rPr>
      </w:pPr>
      <w:r w:rsidRPr="00F40084">
        <w:rPr>
          <w:rFonts w:eastAsia="Calibri Light" w:asciiTheme="majorHAnsi" w:hAnsiTheme="majorHAnsi" w:cstheme="majorHAnsi"/>
          <w:sz w:val="21"/>
          <w:szCs w:val="21"/>
        </w:rPr>
        <w:t xml:space="preserve">NCRD processes your personal data included in the grant application or provided in the performance of the tasks indicated in clause 3;</w:t>
      </w:r>
    </w:p>
    <w:p>
      <w:pPr>
        <w:pStyle w:val="Akapitzlist"/>
        <w:numPr>
          <w:ilvl w:val="0"/>
          <w:numId w:val="12"/>
        </w:numPr>
        <w:spacing w:after="0" w:line="259" w:lineRule="auto"/>
        <w:ind w:start="426" w:hanging="426"/>
        <w:jc w:val="both"/>
        <w:rPr>
          <w:rFonts w:eastAsia="Calibri Light" w:asciiTheme="majorHAnsi" w:hAnsiTheme="majorHAnsi" w:cstheme="majorHAnsi"/>
          <w:sz w:val="21"/>
          <w:szCs w:val="21"/>
        </w:rPr>
      </w:pPr>
      <w:r w:rsidRPr="00F40084">
        <w:rPr>
          <w:rFonts w:eastAsia="Calibri Light" w:asciiTheme="majorHAnsi" w:hAnsiTheme="majorHAnsi" w:cstheme="majorHAnsi"/>
          <w:sz w:val="21"/>
          <w:szCs w:val="21"/>
        </w:rPr>
        <w:t xml:space="preserve">Provision of personal data is necessary for the above-mentioned purpose. Refusal to provide them is tantamount to the inability to take appropriate action;</w:t>
      </w:r>
    </w:p>
    <w:p>
      <w:pPr>
        <w:pStyle w:val="Akapitzlist"/>
        <w:numPr>
          <w:ilvl w:val="0"/>
          <w:numId w:val="12"/>
        </w:numPr>
        <w:spacing w:after="0" w:line="259" w:lineRule="auto"/>
        <w:ind w:start="426" w:hanging="426"/>
        <w:jc w:val="both"/>
        <w:rPr>
          <w:rFonts w:eastAsia="Calibri Light" w:asciiTheme="majorHAnsi" w:hAnsiTheme="majorHAnsi" w:cstheme="majorHAnsi"/>
          <w:sz w:val="21"/>
          <w:szCs w:val="21"/>
        </w:rPr>
      </w:pPr>
      <w:r w:rsidRPr="00F40084">
        <w:rPr>
          <w:rFonts w:eastAsia="Calibri Light" w:asciiTheme="majorHAnsi" w:hAnsiTheme="majorHAnsi" w:cstheme="majorHAnsi"/>
          <w:sz w:val="21"/>
          <w:szCs w:val="21"/>
        </w:rPr>
        <w:t xml:space="preserve">personal data will be processed for the period necessary to fulfill the purpose specified in point 3), and then for archival purposes for the period in accordance with the NCRD's office instructions and the Uniform Tangible File List;</w:t>
      </w:r>
    </w:p>
    <w:p>
      <w:pPr>
        <w:pStyle w:val="Akapitzlist"/>
        <w:numPr>
          <w:ilvl w:val="0"/>
          <w:numId w:val="12"/>
        </w:numPr>
        <w:spacing w:after="0" w:line="259" w:lineRule="auto"/>
        <w:ind w:start="426" w:hanging="426"/>
        <w:jc w:val="both"/>
        <w:rPr>
          <w:rFonts w:eastAsia="Calibri Light" w:asciiTheme="majorHAnsi" w:hAnsiTheme="majorHAnsi" w:cstheme="majorHAnsi"/>
          <w:sz w:val="21"/>
          <w:szCs w:val="21"/>
        </w:rPr>
      </w:pPr>
      <w:r w:rsidRPr="00F40084">
        <w:rPr>
          <w:rFonts w:eastAsia="Calibri Light" w:asciiTheme="majorHAnsi" w:hAnsiTheme="majorHAnsi" w:cstheme="majorHAnsi"/>
          <w:sz w:val="21"/>
          <w:szCs w:val="21"/>
        </w:rPr>
        <w:t xml:space="preserve">The recipients of the personal data will be public authorities and entities performing public tasks or acting on behalf of public authorities, to the extent and for the purposes that result from the provisions of law, as well as entities providing services necessary for the implementation of tasks by NCRD, in particular, the entity supporting the implementation of tasks is NCRD+ Ltd. The data may also be transferred to IT partners, entities providing technical or organizational support, archiving and destruction of documents, postal, courier, payment services, marketing support;</w:t>
      </w:r>
    </w:p>
    <w:p>
      <w:pPr>
        <w:pStyle w:val="Akapitzlist"/>
        <w:numPr>
          <w:ilvl w:val="0"/>
          <w:numId w:val="12"/>
        </w:numPr>
        <w:spacing w:after="0" w:line="259" w:lineRule="auto"/>
        <w:ind w:start="426" w:hanging="426"/>
        <w:jc w:val="both"/>
        <w:rPr>
          <w:rFonts w:eastAsia="Calibri Light" w:asciiTheme="majorHAnsi" w:hAnsiTheme="majorHAnsi" w:cstheme="majorHAnsi"/>
          <w:sz w:val="21"/>
          <w:szCs w:val="21"/>
        </w:rPr>
      </w:pPr>
      <w:r w:rsidRPr="00F40084">
        <w:rPr>
          <w:rFonts w:eastAsia="Calibri Light" w:asciiTheme="majorHAnsi" w:hAnsiTheme="majorHAnsi" w:cstheme="majorHAnsi"/>
          <w:sz w:val="21"/>
          <w:szCs w:val="21"/>
        </w:rPr>
        <w:t xml:space="preserve">In relation to NCBR, you have the following rights: to request access to your personal data, rectification, erasure, restriction of processing, as well as to object to the processing of your personal data. You may </w:t>
      </w:r>
      <w:r w:rsidRPr="00F40084">
        <w:rPr>
          <w:rFonts w:eastAsia="Calibri Light" w:asciiTheme="majorHAnsi" w:hAnsiTheme="majorHAnsi" w:cstheme="majorHAnsi"/>
          <w:sz w:val="21"/>
          <w:szCs w:val="21"/>
        </w:rPr>
        <w:t xml:space="preserve">contact the Data Protection Officer at the email address provided in point 2 above </w:t>
      </w:r>
      <w:r w:rsidRPr="00F40084">
        <w:rPr>
          <w:rFonts w:eastAsia="Calibri Light" w:asciiTheme="majorHAnsi" w:hAnsiTheme="majorHAnsi" w:cstheme="majorHAnsi"/>
          <w:sz w:val="21"/>
          <w:szCs w:val="21"/>
        </w:rPr>
        <w:t xml:space="preserve">to exercise </w:t>
      </w:r>
      <w:r w:rsidRPr="00F40084">
        <w:rPr>
          <w:rFonts w:eastAsia="Calibri Light" w:asciiTheme="majorHAnsi" w:hAnsiTheme="majorHAnsi" w:cstheme="majorHAnsi"/>
          <w:sz w:val="21"/>
          <w:szCs w:val="21"/>
        </w:rPr>
        <w:t xml:space="preserve">your </w:t>
      </w:r>
      <w:r w:rsidRPr="00F40084">
        <w:rPr>
          <w:rFonts w:eastAsia="Calibri Light" w:asciiTheme="majorHAnsi" w:hAnsiTheme="majorHAnsi" w:cstheme="majorHAnsi"/>
          <w:sz w:val="21"/>
          <w:szCs w:val="21"/>
        </w:rPr>
        <w:t xml:space="preserve">rights; </w:t>
      </w:r>
    </w:p>
    <w:p>
      <w:pPr>
        <w:pStyle w:val="Akapitzlist"/>
        <w:numPr>
          <w:ilvl w:val="0"/>
          <w:numId w:val="12"/>
        </w:numPr>
        <w:spacing w:after="0" w:line="259" w:lineRule="auto"/>
        <w:ind w:start="426" w:hanging="426"/>
        <w:jc w:val="both"/>
        <w:rPr>
          <w:rFonts w:eastAsia="Calibri Light" w:asciiTheme="majorHAnsi" w:hAnsiTheme="majorHAnsi" w:cstheme="majorHAnsi"/>
          <w:sz w:val="21"/>
          <w:szCs w:val="21"/>
        </w:rPr>
      </w:pPr>
      <w:r w:rsidRPr="00F40084">
        <w:rPr>
          <w:rFonts w:eastAsia="Calibri Light" w:asciiTheme="majorHAnsi" w:hAnsiTheme="majorHAnsi" w:cstheme="majorHAnsi"/>
          <w:sz w:val="21"/>
          <w:szCs w:val="21"/>
        </w:rPr>
        <w:t xml:space="preserve">You also have the right to file a complaint with the President of the Office for Personal Data Protection; </w:t>
      </w:r>
    </w:p>
    <w:p>
      <w:pPr>
        <w:pStyle w:val="Akapitzlist"/>
        <w:numPr>
          <w:ilvl w:val="0"/>
          <w:numId w:val="12"/>
        </w:numPr>
        <w:spacing w:after="0" w:line="276" w:lineRule="auto"/>
        <w:ind w:start="426" w:hanging="426"/>
        <w:rPr>
          <w:rFonts w:eastAsia="Calibri" w:asciiTheme="majorHAnsi" w:hAnsiTheme="majorHAnsi" w:cstheme="majorHAnsi"/>
          <w:sz w:val="21"/>
          <w:szCs w:val="21"/>
        </w:rPr>
      </w:pPr>
      <w:r w:rsidRPr="00F40084">
        <w:rPr>
          <w:rFonts w:eastAsia="Calibri" w:asciiTheme="majorHAnsi" w:hAnsiTheme="majorHAnsi" w:cstheme="majorHAnsi"/>
          <w:sz w:val="21"/>
          <w:szCs w:val="21"/>
        </w:rPr>
        <w:t xml:space="preserve">Personal data will not be subject to automated decision-making, including profiling;</w:t>
      </w:r>
    </w:p>
    <w:p>
      <w:pPr>
        <w:pStyle w:val="Akapitzlist"/>
        <w:numPr>
          <w:ilvl w:val="0"/>
          <w:numId w:val="12"/>
        </w:numPr>
        <w:spacing w:after="0" w:line="276" w:lineRule="auto"/>
        <w:ind w:start="426" w:hanging="426"/>
        <w:rPr>
          <w:rFonts w:eastAsia="Calibri" w:asciiTheme="majorHAnsi" w:hAnsiTheme="majorHAnsi" w:cstheme="majorHAnsi"/>
          <w:sz w:val="21"/>
          <w:szCs w:val="21"/>
        </w:rPr>
      </w:pPr>
      <w:r w:rsidRPr="00F40084">
        <w:rPr>
          <w:rFonts w:eastAsia="Calibri" w:asciiTheme="majorHAnsi" w:hAnsiTheme="majorHAnsi" w:cstheme="majorHAnsi"/>
          <w:sz w:val="21"/>
          <w:szCs w:val="21"/>
        </w:rPr>
        <w:t xml:space="preserve">Your personal data will not be transferred to a third country.</w:t>
      </w:r>
    </w:p>
    <w:p xmlns:wp14="http://schemas.microsoft.com/office/word/2010/wordml" w:rsidRPr="00F40084" w:rsidR="00F40084" w:rsidP="00F40084" w:rsidRDefault="00F40084" wp14:paraId="4B99056E" wp14:textId="77777777">
      <w:pPr>
        <w:spacing w:after="0"/>
        <w:rPr>
          <w:rFonts w:asciiTheme="majorHAnsi" w:hAnsiTheme="majorHAnsi" w:cstheme="majorHAnsi"/>
          <w:sz w:val="21"/>
          <w:szCs w:val="21"/>
        </w:rPr>
      </w:pPr>
    </w:p>
    <w:p>
      <w:pPr>
        <w:spacing w:after="0" w:line="276" w:lineRule="auto"/>
        <w:ind w:start="142" w:hanging="142"/>
        <w:rPr>
          <w:rFonts w:eastAsia="Calibri" w:asciiTheme="majorHAnsi" w:hAnsiTheme="majorHAnsi" w:cstheme="majorHAnsi"/>
          <w:sz w:val="21"/>
          <w:szCs w:val="21"/>
        </w:rPr>
      </w:pPr>
      <w:hyperlink w:history="1" w:anchor="_ftnref1" r:id="rId14">
        <w:r w:rsidRPr="00F40084">
          <w:rPr>
            <w:rStyle w:val="Hipercze"/>
            <w:rFonts w:eastAsia="Calibri" w:asciiTheme="majorHAnsi" w:hAnsiTheme="majorHAnsi" w:cstheme="majorHAnsi"/>
            <w:sz w:val="21"/>
            <w:szCs w:val="21"/>
            <w:vertAlign w:val="superscript"/>
          </w:rPr>
          <w:t xml:space="preserve">[1]</w:t>
        </w:r>
      </w:hyperlink>
      <w:r w:rsidRPr="00F40084">
        <w:rPr>
          <w:rFonts w:eastAsia="Calibri" w:asciiTheme="majorHAnsi" w:hAnsiTheme="majorHAnsi" w:cstheme="majorHAnsi"/>
          <w:sz w:val="21"/>
          <w:szCs w:val="21"/>
        </w:rPr>
        <w:t xml:space="preserve"> Regulation (EU) 2016/679 of the European Parliament and of the Council of April 27, 2016 on the protection of natural persons with regard to the processing of personal data and on the free movement of such data (Official Journal of the EU. L 119 of May 4, 2016, pp.1-88).</w:t>
      </w:r>
    </w:p>
    <w:p>
      <w:pPr>
        <w:spacing w:after="0" w:line="276" w:lineRule="auto"/>
        <w:ind w:start="142" w:hanging="142"/>
        <w:rPr>
          <w:rFonts w:eastAsia="Calibri" w:asciiTheme="majorHAnsi" w:hAnsiTheme="majorHAnsi" w:cstheme="majorHAnsi"/>
          <w:sz w:val="21"/>
          <w:szCs w:val="21"/>
        </w:rPr>
      </w:pPr>
      <w:hyperlink w:history="1" w:anchor="_ftnref2" r:id="rId15">
        <w:r w:rsidRPr="00F40084">
          <w:rPr>
            <w:rStyle w:val="Hipercze"/>
            <w:rFonts w:eastAsia="Calibri" w:asciiTheme="majorHAnsi" w:hAnsiTheme="majorHAnsi" w:cstheme="majorHAnsi"/>
            <w:sz w:val="21"/>
            <w:szCs w:val="21"/>
            <w:vertAlign w:val="superscript"/>
          </w:rPr>
          <w:t xml:space="preserve">[2]</w:t>
        </w:r>
      </w:hyperlink>
      <w:r w:rsidRPr="00F40084">
        <w:rPr>
          <w:rFonts w:eastAsia="Calibri" w:asciiTheme="majorHAnsi" w:hAnsiTheme="majorHAnsi" w:cstheme="majorHAnsi"/>
          <w:sz w:val="21"/>
          <w:szCs w:val="21"/>
        </w:rPr>
        <w:t xml:space="preserve"> Act of April 28, 2022 on the principles of implementation of tasks financed from European funds in the financial perspective 2021-2027 (Journal of Laws 2022 item 1079), hereinafter referred to as the "Implementation Act".</w:t>
      </w:r>
    </w:p>
    <w:p>
      <w:pPr>
        <w:spacing w:after="0" w:line="276" w:lineRule="auto"/>
        <w:rPr>
          <w:rFonts w:eastAsia="Calibri" w:asciiTheme="majorHAnsi" w:hAnsiTheme="majorHAnsi" w:cstheme="majorHAnsi"/>
          <w:sz w:val="21"/>
          <w:szCs w:val="21"/>
        </w:rPr>
      </w:pPr>
      <w:hyperlink w:history="1" w:anchor="_ftnref3" r:id="rId16">
        <w:r w:rsidRPr="00F40084">
          <w:rPr>
            <w:rStyle w:val="Hipercze"/>
            <w:rFonts w:eastAsia="Calibri" w:asciiTheme="majorHAnsi" w:hAnsiTheme="majorHAnsi" w:cstheme="majorHAnsi"/>
            <w:sz w:val="21"/>
            <w:szCs w:val="21"/>
            <w:vertAlign w:val="superscript"/>
          </w:rPr>
          <w:t xml:space="preserve">[3]</w:t>
        </w:r>
      </w:hyperlink>
      <w:r w:rsidRPr="00F40084">
        <w:rPr>
          <w:rFonts w:eastAsia="Calibri" w:asciiTheme="majorHAnsi" w:hAnsiTheme="majorHAnsi" w:cstheme="majorHAnsi"/>
          <w:sz w:val="21"/>
          <w:szCs w:val="21"/>
        </w:rPr>
        <w:t xml:space="preserve"> Applies only to projects that activate people serving prison sentences.</w:t>
      </w:r>
    </w:p>
    <w:p>
      <w:pPr>
        <w:spacing w:before="120" w:after="0" w:line="276" w:lineRule="auto"/>
        <w:ind w:start="142" w:hanging="142"/>
        <w:jc w:val="both"/>
        <w:rPr>
          <w:rFonts w:eastAsia="Calibri" w:asciiTheme="majorHAnsi" w:hAnsiTheme="majorHAnsi" w:cstheme="majorHAnsi"/>
          <w:sz w:val="21"/>
          <w:szCs w:val="21"/>
        </w:rPr>
      </w:pPr>
      <w:hyperlink w:history="1" w:anchor="_ftnref4" r:id="rId17">
        <w:r w:rsidRPr="00F40084">
          <w:rPr>
            <w:rStyle w:val="Hipercze"/>
            <w:rFonts w:eastAsia="Calibri" w:asciiTheme="majorHAnsi" w:hAnsiTheme="majorHAnsi" w:cstheme="majorHAnsi"/>
            <w:sz w:val="21"/>
            <w:szCs w:val="21"/>
            <w:vertAlign w:val="superscript"/>
          </w:rPr>
          <w:t xml:space="preserve">[4]</w:t>
        </w:r>
      </w:hyperlink>
      <w:r w:rsidRPr="00F40084">
        <w:rPr>
          <w:rFonts w:eastAsia="Calibri" w:asciiTheme="majorHAnsi" w:hAnsiTheme="majorHAnsi" w:cstheme="majorHAnsi"/>
          <w:sz w:val="21"/>
          <w:szCs w:val="21"/>
        </w:rPr>
        <w:t xml:space="preserve"> One or more provisions of the law should be indicated - it is possible to cite them to a limited extent for the purpose of a specific clause.</w:t>
      </w:r>
    </w:p>
    <w:p>
      <w:pPr>
        <w:spacing w:after="0" w:line="276" w:lineRule="auto"/>
        <w:rPr>
          <w:rFonts w:eastAsia="Calibri" w:asciiTheme="majorHAnsi" w:hAnsiTheme="majorHAnsi" w:cstheme="majorHAnsi"/>
          <w:sz w:val="21"/>
          <w:szCs w:val="21"/>
        </w:rPr>
      </w:pPr>
      <w:hyperlink w:history="1" w:anchor="_ftnref5" r:id="rId18">
        <w:r w:rsidRPr="00F40084">
          <w:rPr>
            <w:rStyle w:val="Hipercze"/>
            <w:rFonts w:eastAsia="Calibri" w:asciiTheme="majorHAnsi" w:hAnsiTheme="majorHAnsi" w:cstheme="majorHAnsi"/>
            <w:sz w:val="21"/>
            <w:szCs w:val="21"/>
            <w:vertAlign w:val="superscript"/>
          </w:rPr>
          <w:t xml:space="preserve">[5]</w:t>
        </w:r>
      </w:hyperlink>
      <w:r w:rsidRPr="00F40084">
        <w:rPr>
          <w:rFonts w:eastAsia="Calibri" w:asciiTheme="majorHAnsi" w:hAnsiTheme="majorHAnsi" w:cstheme="majorHAnsi"/>
          <w:sz w:val="21"/>
          <w:szCs w:val="21"/>
        </w:rPr>
        <w:t xml:space="preserve"> To automate the processing of personal data, it is sufficient that the data is stored on a computer disk.</w:t>
      </w:r>
    </w:p>
    <w:p>
      <w:pPr>
        <w:spacing w:after="0" w:line="276" w:lineRule="auto"/>
        <w:rPr>
          <w:rFonts w:eastAsia="Calibri" w:asciiTheme="majorHAnsi" w:hAnsiTheme="majorHAnsi" w:cstheme="majorHAnsi"/>
          <w:sz w:val="21"/>
          <w:szCs w:val="21"/>
        </w:rPr>
      </w:pPr>
      <w:hyperlink w:history="1" w:anchor="_ftnref6" r:id="rId19">
        <w:r w:rsidRPr="00F40084">
          <w:rPr>
            <w:rStyle w:val="Hipercze"/>
            <w:rFonts w:eastAsia="Calibri" w:asciiTheme="majorHAnsi" w:hAnsiTheme="majorHAnsi" w:cstheme="majorHAnsi"/>
            <w:sz w:val="21"/>
            <w:szCs w:val="21"/>
            <w:vertAlign w:val="superscript"/>
          </w:rPr>
          <w:t xml:space="preserve">[6]</w:t>
        </w:r>
      </w:hyperlink>
      <w:r w:rsidRPr="00F40084">
        <w:rPr>
          <w:rFonts w:eastAsia="Calibri" w:asciiTheme="majorHAnsi" w:hAnsiTheme="majorHAnsi" w:cstheme="majorHAnsi"/>
          <w:sz w:val="21"/>
          <w:szCs w:val="21"/>
        </w:rPr>
        <w:t xml:space="preserve"> The model shall be determined by the Intermediate Body.</w:t>
      </w:r>
    </w:p>
    <w:p xmlns:wp14="http://schemas.microsoft.com/office/word/2010/wordml" w:rsidRPr="00F40084" w:rsidR="00F40084" w:rsidP="00F40084" w:rsidRDefault="00F40084" wp14:paraId="1299C43A" wp14:textId="77777777">
      <w:pPr>
        <w:spacing w:after="0" w:line="276" w:lineRule="auto"/>
        <w:rPr>
          <w:rFonts w:asciiTheme="majorHAnsi" w:hAnsiTheme="majorHAnsi" w:cstheme="majorHAnsi"/>
          <w:sz w:val="21"/>
          <w:szCs w:val="21"/>
        </w:rPr>
      </w:pPr>
    </w:p>
    <w:p xmlns:wp14="http://schemas.microsoft.com/office/word/2010/wordml" w:rsidRPr="00F40084" w:rsidR="00F40084" w:rsidP="00F40084" w:rsidRDefault="00F40084" wp14:paraId="4DDBEF00" wp14:textId="77777777">
      <w:pPr>
        <w:spacing w:after="0" w:line="276" w:lineRule="auto"/>
        <w:rPr>
          <w:rFonts w:asciiTheme="majorHAnsi" w:hAnsiTheme="majorHAnsi" w:cstheme="majorHAnsi"/>
          <w:sz w:val="21"/>
          <w:szCs w:val="21"/>
        </w:rPr>
      </w:pPr>
    </w:p>
    <w:p xmlns:wp14="http://schemas.microsoft.com/office/word/2010/wordml" w:rsidRPr="00F40084" w:rsidR="00F40084" w:rsidP="00F40084" w:rsidRDefault="00F40084" wp14:paraId="3461D779" wp14:textId="77777777">
      <w:pPr>
        <w:spacing w:after="0" w:line="276" w:lineRule="auto"/>
        <w:rPr>
          <w:rFonts w:asciiTheme="majorHAnsi" w:hAnsiTheme="majorHAnsi" w:cstheme="majorHAnsi"/>
          <w:sz w:val="21"/>
          <w:szCs w:val="21"/>
        </w:rPr>
      </w:pPr>
    </w:p>
    <w:p>
      <w:pPr>
        <w:spacing w:after="0"/>
        <w:rPr>
          <w:rFonts w:asciiTheme="majorHAnsi" w:hAnsiTheme="majorHAnsi" w:eastAsiaTheme="majorEastAsia" w:cstheme="majorHAnsi"/>
          <w:sz w:val="21"/>
          <w:szCs w:val="21"/>
        </w:rPr>
      </w:pPr>
      <w:r w:rsidRPr="00F40084">
        <w:rPr>
          <w:rFonts w:asciiTheme="majorHAnsi" w:hAnsiTheme="majorHAnsi" w:eastAsiaTheme="majorEastAsia" w:cstheme="majorHAnsi"/>
          <w:sz w:val="21"/>
          <w:szCs w:val="21"/>
        </w:rPr>
        <w:t xml:space="preserve">Signature of the project participant</w:t>
      </w:r>
    </w:p>
    <w:p>
      <w:pPr>
        <w:spacing w:after="0" w:line="276" w:lineRule="auto"/>
        <w:rPr>
          <w:rFonts w:asciiTheme="majorHAnsi" w:hAnsiTheme="majorHAnsi" w:cstheme="majorHAnsi"/>
          <w:sz w:val="21"/>
          <w:szCs w:val="21"/>
        </w:rPr>
      </w:pPr>
      <w:r w:rsidRPr="00F40084">
        <w:rPr>
          <w:rFonts w:asciiTheme="majorHAnsi" w:hAnsiTheme="majorHAnsi" w:cstheme="majorHAnsi"/>
          <w:i/>
          <w:sz w:val="21"/>
          <w:szCs w:val="21"/>
        </w:rPr>
        <w:t xml:space="preserve">[signed: qualified electronic signature; trusted profile; handwritten signature; electronic authorization].</w:t>
      </w:r>
    </w:p>
    <w:p xmlns:wp14="http://schemas.microsoft.com/office/word/2010/wordml" w:rsidRPr="00F40084" w:rsidR="00F40084" w:rsidP="00F40084" w:rsidRDefault="00F40084" wp14:paraId="3CF2D8B6" wp14:textId="77777777">
      <w:pPr>
        <w:spacing w:after="0" w:line="276" w:lineRule="auto"/>
        <w:rPr>
          <w:rFonts w:asciiTheme="majorHAnsi" w:hAnsiTheme="majorHAnsi" w:cstheme="majorHAnsi"/>
          <w:sz w:val="21"/>
          <w:szCs w:val="21"/>
        </w:rPr>
      </w:pPr>
    </w:p>
    <w:p xmlns:wp14="http://schemas.microsoft.com/office/word/2010/wordml" w:rsidRPr="00D571EA" w:rsidR="00F40084" w:rsidP="00F40084" w:rsidRDefault="00F40084" wp14:paraId="0FB78278" wp14:textId="77777777">
      <w:pPr>
        <w:rPr>
          <w:rFonts w:eastAsia="Calibri" w:asciiTheme="majorHAnsi" w:hAnsiTheme="majorHAnsi" w:cstheme="majorHAnsi"/>
          <w:b/>
          <w:bCs/>
          <w:sz w:val="17"/>
          <w:szCs w:val="17"/>
        </w:rPr>
      </w:pPr>
      <w:r w:rsidRPr="00F40084">
        <w:rPr>
          <w:rFonts w:eastAsia="Calibri" w:asciiTheme="majorHAnsi" w:hAnsiTheme="majorHAnsi" w:cstheme="majorHAnsi"/>
          <w:b/>
          <w:bCs/>
          <w:sz w:val="21"/>
          <w:szCs w:val="21"/>
        </w:rPr>
        <w:br w:type="page"/>
      </w:r>
    </w:p>
    <w:p>
      <w:pPr>
        <w:pStyle w:val="Normalny"/>
        <w:spacing w:before="0" w:beforeAutospacing="off" w:after="160" w:afterAutospacing="off" w:line="257" w:lineRule="auto"/>
        <w:jc w:val="center"/>
        <w:rPr>
          <w:rFonts w:ascii="Calibri Light" w:hAnsi="Calibri Light" w:cs="Calibri Light" w:asciiTheme="majorAscii" w:hAnsiTheme="majorAscii" w:cstheme="majorAscii"/>
          <w:b w:val="1"/>
          <w:bCs w:val="1"/>
          <w:sz w:val="21"/>
          <w:szCs w:val="21"/>
        </w:rPr>
      </w:pPr>
      <w:r w:rsidRPr="54F83198" w:rsidR="65EDB25E">
        <w:rPr>
          <w:rFonts w:ascii="Calibri Light" w:hAnsi="Calibri Light" w:eastAsia="Calibri Light" w:cs="Calibri Light"/>
          <w:b w:val="1"/>
          <w:bCs w:val="1"/>
          <w:noProof w:val="0"/>
          <w:color w:val="000000" w:themeColor="text1" w:themeTint="FF" w:themeShade="FF"/>
          <w:sz w:val="21"/>
          <w:szCs w:val="21"/>
          <w:lang w:val="pl"/>
        </w:rPr>
        <w:t xml:space="preserve">INFORMATION CLAUSE OF THE NATIONAL ACADEMIC EXCHANGE AGENCY CONCERNING THE PROCESSING OF PERSONAL DATA OF PARTICIPANTS OF PROJECTS FINANCED BY THE EUROPEAN FUNDS FOR SOCIAL DEVELOPMENT 2021-2027 </w:t>
      </w:r>
      <w:r w:rsidRPr="54F83198" w:rsidR="00F40084">
        <w:rPr>
          <w:rFonts w:ascii="Calibri Light" w:hAnsi="Calibri Light" w:cs="Calibri Light" w:asciiTheme="majorAscii" w:hAnsiTheme="majorAscii" w:cstheme="majorAscii"/>
          <w:b w:val="1"/>
          <w:bCs w:val="1"/>
          <w:sz w:val="21"/>
          <w:szCs w:val="21"/>
        </w:rPr>
        <w:t xml:space="preserve">(FERS)</w:t>
      </w:r>
    </w:p>
    <w:tbl>
      <w:tblPr>
        <w:tblStyle w:val="Tabela-Siatka"/>
        <w:tblW w:w="0" w:type="auto"/>
        <w:tblLook w:val="04a0"/>
      </w:tblPr>
      <w:tblGrid>
        <w:gridCol w:w="2661"/>
        <w:gridCol w:w="6401"/>
      </w:tblGrid>
      <w:tr xmlns:wp14="http://schemas.microsoft.com/office/word/2010/wordml" w:rsidRPr="00F40084" w:rsidR="00F40084" w:rsidTr="54F83198" wp14:paraId="2F79AEAA" wp14:textId="77777777">
        <w:tc>
          <w:tcPr>
            <w:tcW w:w="2439" w:type="dxa"/>
            <w:tcMar/>
          </w:tcPr>
          <w:p>
            <w:pPr>
              <w:tabs>
                <w:tab w:val="left" w:pos="2430"/>
              </w:tabs>
              <w:rPr>
                <w:rFonts w:asciiTheme="majorHAnsi" w:hAnsiTheme="majorHAnsi" w:cstheme="majorHAnsi"/>
                <w:sz w:val="21"/>
                <w:szCs w:val="21"/>
              </w:rPr>
            </w:pPr>
            <w:r w:rsidRPr="00F40084">
              <w:rPr>
                <w:rFonts w:asciiTheme="majorHAnsi" w:hAnsiTheme="majorHAnsi" w:cstheme="majorHAnsi"/>
                <w:sz w:val="21"/>
                <w:szCs w:val="21"/>
              </w:rPr>
              <w:t xml:space="preserve">Administrator</w:t>
            </w:r>
          </w:p>
        </w:tc>
        <w:tc>
          <w:tcPr>
            <w:tcW w:w="6623" w:type="dxa"/>
            <w:tcMar/>
          </w:tcPr>
          <w:p>
            <w:pPr>
              <w:tabs>
                <w:tab w:val="left" w:pos="2430"/>
              </w:tabs>
              <w:jc w:val="both"/>
              <w:rPr>
                <w:rFonts w:asciiTheme="majorHAnsi" w:hAnsiTheme="majorHAnsi" w:cstheme="majorHAnsi"/>
                <w:sz w:val="21"/>
                <w:szCs w:val="21"/>
              </w:rPr>
            </w:pPr>
            <w:r w:rsidRPr="00F40084">
              <w:rPr>
                <w:rFonts w:asciiTheme="majorHAnsi" w:hAnsiTheme="majorHAnsi" w:cstheme="majorHAnsi"/>
                <w:sz w:val="21"/>
                <w:szCs w:val="21"/>
              </w:rPr>
              <w:t xml:space="preserve">National Agency for Academic Exchange (Agency)</w:t>
            </w:r>
          </w:p>
          <w:p>
            <w:pPr>
              <w:tabs>
                <w:tab w:val="left" w:pos="2430"/>
              </w:tabs>
              <w:jc w:val="both"/>
              <w:rPr>
                <w:rFonts w:asciiTheme="majorHAnsi" w:hAnsiTheme="majorHAnsi" w:cstheme="majorHAnsi"/>
                <w:sz w:val="21"/>
                <w:szCs w:val="21"/>
              </w:rPr>
            </w:pPr>
            <w:r w:rsidRPr="00F40084">
              <w:rPr>
                <w:rFonts w:asciiTheme="majorHAnsi" w:hAnsiTheme="majorHAnsi" w:cstheme="majorHAnsi"/>
                <w:sz w:val="21"/>
                <w:szCs w:val="21"/>
              </w:rPr>
              <w:t xml:space="preserve">40 Polna St., 00-635 Warsaw</w:t>
            </w:r>
          </w:p>
        </w:tc>
      </w:tr>
      <w:tr xmlns:wp14="http://schemas.microsoft.com/office/word/2010/wordml" w:rsidRPr="00F40084" w:rsidR="00F40084" w:rsidTr="54F83198" wp14:paraId="7769FA86" wp14:textId="77777777">
        <w:tc>
          <w:tcPr>
            <w:tcW w:w="2439" w:type="dxa"/>
            <w:tcMar/>
          </w:tcPr>
          <w:p>
            <w:pPr>
              <w:tabs>
                <w:tab w:val="left" w:pos="2430"/>
              </w:tabs>
              <w:rPr>
                <w:rFonts w:asciiTheme="majorHAnsi" w:hAnsiTheme="majorHAnsi" w:cstheme="majorHAnsi"/>
                <w:sz w:val="21"/>
                <w:szCs w:val="21"/>
              </w:rPr>
            </w:pPr>
            <w:r w:rsidRPr="00F40084">
              <w:rPr>
                <w:rFonts w:asciiTheme="majorHAnsi" w:hAnsiTheme="majorHAnsi" w:cstheme="majorHAnsi"/>
                <w:sz w:val="21"/>
                <w:szCs w:val="21"/>
              </w:rPr>
              <w:t xml:space="preserve">Purpose and legal basis of data processing </w:t>
            </w:r>
          </w:p>
        </w:tc>
        <w:tc>
          <w:tcPr>
            <w:tcW w:w="6623" w:type="dxa"/>
            <w:tcMar/>
          </w:tcPr>
          <w:p>
            <w:pPr>
              <w:shd w:val="clear" w:color="auto" w:fill="FFFFFF"/>
              <w:jc w:val="both"/>
              <w:rPr>
                <w:rFonts w:asciiTheme="majorHAnsi" w:hAnsiTheme="majorHAnsi" w:cstheme="majorHAnsi"/>
                <w:color w:val="000000"/>
                <w:sz w:val="21"/>
                <w:szCs w:val="21"/>
              </w:rPr>
            </w:pPr>
            <w:r w:rsidRPr="00F40084">
              <w:rPr>
                <w:rFonts w:asciiTheme="majorHAnsi" w:hAnsiTheme="majorHAnsi" w:cstheme="majorHAnsi"/>
                <w:color w:val="000000"/>
                <w:sz w:val="21"/>
                <w:szCs w:val="21"/>
              </w:rPr>
              <w:t xml:space="preserve">The Agency processes your personal data on the basis of Article 6(1)(c) and (e) of </w:t>
            </w:r>
            <w:r w:rsidRPr="00F40084">
              <w:rPr>
                <w:rFonts w:asciiTheme="majorHAnsi" w:hAnsiTheme="majorHAnsi" w:cstheme="majorHAnsi"/>
                <w:sz w:val="21"/>
                <w:szCs w:val="21"/>
              </w:rPr>
              <w:t xml:space="preserve">the RODO</w:t>
            </w:r>
            <w:r w:rsidRPr="00F40084">
              <w:rPr>
                <w:rStyle w:val="Odwoanieprzypisudolnego"/>
                <w:rFonts w:asciiTheme="majorHAnsi" w:hAnsiTheme="majorHAnsi" w:cstheme="majorHAnsi"/>
                <w:sz w:val="21"/>
                <w:szCs w:val="21"/>
              </w:rPr>
              <w:footnoteReference w:id="1"/>
            </w:r>
            <w:r w:rsidRPr="00F40084">
              <w:rPr>
                <w:rFonts w:asciiTheme="majorHAnsi" w:hAnsiTheme="majorHAnsi" w:cstheme="majorHAnsi"/>
                <w:color w:val="000000"/>
                <w:sz w:val="21"/>
                <w:szCs w:val="21"/>
              </w:rPr>
              <w:t xml:space="preserve"> , and on the basis of Article 9(2)(g) and (j) of the RODO in connection with Article 6(1)(c) and (e) of the RODO in order to:</w:t>
            </w:r>
          </w:p>
          <w:p>
            <w:pPr>
              <w:pStyle w:val="Akapitzlist"/>
              <w:numPr>
                <w:ilvl w:val="0"/>
                <w:numId w:val="13"/>
              </w:numPr>
              <w:shd w:val="clear" w:color="auto" w:fill="FFFFFF"/>
              <w:spacing w:after="0" w:line="240" w:lineRule="auto"/>
              <w:jc w:val="both"/>
              <w:rPr>
                <w:rFonts w:asciiTheme="majorHAnsi" w:hAnsiTheme="majorHAnsi" w:cstheme="majorHAnsi"/>
                <w:color w:val="000000"/>
                <w:sz w:val="21"/>
                <w:szCs w:val="21"/>
              </w:rPr>
            </w:pPr>
            <w:r w:rsidRPr="00F40084">
              <w:rPr>
                <w:rFonts w:asciiTheme="majorHAnsi" w:hAnsiTheme="majorHAnsi" w:cstheme="majorHAnsi"/>
                <w:color w:val="000000"/>
                <w:sz w:val="21"/>
                <w:szCs w:val="21"/>
              </w:rPr>
              <w:t xml:space="preserve">to carry out the public task </w:t>
            </w:r>
            <w:r w:rsidRPr="00F40084">
              <w:rPr>
                <w:rFonts w:asciiTheme="majorHAnsi" w:hAnsiTheme="majorHAnsi" w:cstheme="majorHAnsi"/>
                <w:sz w:val="21"/>
                <w:szCs w:val="21"/>
              </w:rPr>
              <w:t xml:space="preserve">in the field of internationalization of higher education and science </w:t>
            </w:r>
            <w:r w:rsidRPr="00F40084">
              <w:rPr>
                <w:rFonts w:asciiTheme="majorHAnsi" w:hAnsiTheme="majorHAnsi" w:cstheme="majorHAnsi"/>
                <w:color w:val="000000"/>
                <w:sz w:val="21"/>
                <w:szCs w:val="21"/>
              </w:rPr>
              <w:t xml:space="preserve">entrusted to the Agency, i.e., </w:t>
            </w:r>
            <w:r w:rsidRPr="00F40084">
              <w:rPr>
                <w:rFonts w:asciiTheme="majorHAnsi" w:hAnsiTheme="majorHAnsi" w:cstheme="majorHAnsi"/>
                <w:sz w:val="21"/>
                <w:szCs w:val="21"/>
              </w:rPr>
              <w:t xml:space="preserve">the task </w:t>
            </w:r>
            <w:r w:rsidRPr="00F40084">
              <w:rPr>
                <w:rFonts w:asciiTheme="majorHAnsi" w:hAnsiTheme="majorHAnsi" w:cstheme="majorHAnsi"/>
                <w:color w:val="000000"/>
                <w:sz w:val="21"/>
                <w:szCs w:val="21"/>
              </w:rPr>
              <w:t xml:space="preserve">specified in Article 2 of the Act of July 7, 2017 on the National Agency for Academic Exchange;</w:t>
            </w:r>
          </w:p>
          <w:p>
            <w:pPr>
              <w:pStyle w:val="Akapitzlist"/>
              <w:numPr>
                <w:ilvl w:val="0"/>
                <w:numId w:val="13"/>
              </w:numPr>
              <w:shd w:val="clear" w:color="auto" w:fill="FFFFFF"/>
              <w:spacing w:after="0" w:line="240" w:lineRule="auto"/>
              <w:jc w:val="both"/>
              <w:rPr>
                <w:rFonts w:asciiTheme="majorHAnsi" w:hAnsiTheme="majorHAnsi" w:cstheme="majorHAnsi"/>
                <w:sz w:val="21"/>
                <w:szCs w:val="21"/>
              </w:rPr>
            </w:pPr>
            <w:r w:rsidRPr="00F40084">
              <w:rPr>
                <w:rFonts w:asciiTheme="majorHAnsi" w:hAnsiTheme="majorHAnsi" w:cstheme="majorHAnsi"/>
                <w:color w:val="000000"/>
                <w:sz w:val="21"/>
                <w:szCs w:val="21"/>
              </w:rPr>
              <w:t xml:space="preserve">to fulfill the Agency's legal obligations related to the implementation of the project funding agreement, including statistical obligations and </w:t>
            </w:r>
            <w:r w:rsidRPr="00F40084">
              <w:rPr>
                <w:rFonts w:asciiTheme="majorHAnsi" w:hAnsiTheme="majorHAnsi" w:cstheme="majorHAnsi"/>
                <w:sz w:val="21"/>
                <w:szCs w:val="21"/>
              </w:rPr>
              <w:t xml:space="preserve">those related to monitoring, reporting, communication, publication, evaluation, financial management, verification and performance of project audits, and to determine the eligibility of participants;</w:t>
            </w:r>
          </w:p>
        </w:tc>
      </w:tr>
      <w:tr xmlns:wp14="http://schemas.microsoft.com/office/word/2010/wordml" w:rsidRPr="00F40084" w:rsidR="00F40084" w:rsidTr="54F83198" wp14:paraId="4BFF7BA1" wp14:textId="77777777">
        <w:tc>
          <w:tcPr>
            <w:tcW w:w="2439" w:type="dxa"/>
            <w:tcMar/>
          </w:tcPr>
          <w:p>
            <w:pPr>
              <w:tabs>
                <w:tab w:val="left" w:pos="2430"/>
              </w:tabs>
              <w:rPr>
                <w:rFonts w:asciiTheme="majorHAnsi" w:hAnsiTheme="majorHAnsi" w:cstheme="majorHAnsi"/>
                <w:sz w:val="21"/>
                <w:szCs w:val="21"/>
              </w:rPr>
            </w:pPr>
            <w:r w:rsidRPr="00F40084">
              <w:rPr>
                <w:rFonts w:asciiTheme="majorHAnsi" w:hAnsiTheme="majorHAnsi" w:cstheme="majorHAnsi"/>
                <w:sz w:val="21"/>
                <w:szCs w:val="21"/>
              </w:rPr>
              <w:t xml:space="preserve">Categories of data processed</w:t>
            </w:r>
          </w:p>
        </w:tc>
        <w:tc>
          <w:tcPr>
            <w:tcW w:w="6623" w:type="dxa"/>
            <w:tcMar/>
          </w:tcPr>
          <w:p>
            <w:pPr>
              <w:shd w:val="clear" w:color="auto" w:fill="FFFFFF"/>
              <w:jc w:val="both"/>
              <w:rPr>
                <w:rFonts w:asciiTheme="majorHAnsi" w:hAnsiTheme="majorHAnsi" w:cstheme="majorHAnsi"/>
                <w:color w:val="000000"/>
                <w:sz w:val="21"/>
                <w:szCs w:val="21"/>
              </w:rPr>
            </w:pPr>
            <w:r w:rsidRPr="00F40084">
              <w:rPr>
                <w:rFonts w:asciiTheme="majorHAnsi" w:hAnsiTheme="majorHAnsi" w:cstheme="majorHAnsi"/>
                <w:color w:val="000000"/>
                <w:sz w:val="21"/>
                <w:szCs w:val="21"/>
              </w:rPr>
              <w:t xml:space="preserve">The Agency may process the following categories of your data:</w:t>
            </w:r>
          </w:p>
          <w:p>
            <w:pPr>
              <w:pStyle w:val="Akapitzlist"/>
              <w:numPr>
                <w:ilvl w:val="0"/>
                <w:numId w:val="14"/>
              </w:numPr>
              <w:shd w:val="clear" w:color="auto" w:fill="FFFFFF"/>
              <w:spacing w:after="0" w:line="240" w:lineRule="auto"/>
              <w:jc w:val="both"/>
              <w:rPr>
                <w:rFonts w:asciiTheme="majorHAnsi" w:hAnsiTheme="majorHAnsi" w:cstheme="majorHAnsi"/>
                <w:color w:val="000000"/>
                <w:sz w:val="21"/>
                <w:szCs w:val="21"/>
              </w:rPr>
            </w:pPr>
            <w:r w:rsidRPr="00F40084">
              <w:rPr>
                <w:rFonts w:asciiTheme="majorHAnsi" w:hAnsiTheme="majorHAnsi" w:cstheme="majorHAnsi"/>
                <w:color w:val="000000"/>
                <w:sz w:val="21"/>
                <w:szCs w:val="21"/>
              </w:rPr>
              <w:t xml:space="preserve">identification data, as indicated in Article 87(2)(1) of the Implementation Law</w:t>
            </w:r>
            <w:r w:rsidRPr="00F40084">
              <w:rPr>
                <w:rStyle w:val="Odwoanieprzypisudolnego"/>
                <w:rFonts w:asciiTheme="majorHAnsi" w:hAnsiTheme="majorHAnsi" w:cstheme="majorHAnsi"/>
                <w:color w:val="000000"/>
                <w:sz w:val="21"/>
                <w:szCs w:val="21"/>
              </w:rPr>
              <w:footnoteReference w:id="2"/>
            </w:r>
            <w:r w:rsidRPr="00F40084">
              <w:rPr>
                <w:rFonts w:asciiTheme="majorHAnsi" w:hAnsiTheme="majorHAnsi" w:cstheme="majorHAnsi"/>
                <w:color w:val="000000"/>
                <w:sz w:val="21"/>
                <w:szCs w:val="21"/>
              </w:rPr>
              <w:t xml:space="preserve"> , including: name, surname, address, e-mail address, telephone number, fax number, PESEL, REGON, education, Internet identifiers;</w:t>
            </w:r>
          </w:p>
          <w:p>
            <w:pPr>
              <w:pStyle w:val="Akapitzlist"/>
              <w:numPr>
                <w:ilvl w:val="0"/>
                <w:numId w:val="14"/>
              </w:numPr>
              <w:shd w:val="clear" w:color="auto" w:fill="FFFFFF"/>
              <w:spacing w:after="0" w:line="240" w:lineRule="auto"/>
              <w:jc w:val="both"/>
              <w:rPr>
                <w:rFonts w:asciiTheme="majorHAnsi" w:hAnsiTheme="majorHAnsi" w:cstheme="majorHAnsi"/>
                <w:color w:val="000000"/>
                <w:sz w:val="21"/>
                <w:szCs w:val="21"/>
              </w:rPr>
            </w:pPr>
            <w:r w:rsidRPr="00F40084">
              <w:rPr>
                <w:rFonts w:asciiTheme="majorHAnsi" w:hAnsiTheme="majorHAnsi" w:cstheme="majorHAnsi"/>
                <w:color w:val="000000"/>
                <w:sz w:val="21"/>
                <w:szCs w:val="21"/>
              </w:rPr>
              <w:t xml:space="preserve">data related to the scope of your participation in the project, as indicated in Article 87(2)(2) of the Implementation Act, including: salary, form and period of involvement in the project;</w:t>
            </w:r>
          </w:p>
          <w:p>
            <w:pPr>
              <w:pStyle w:val="Akapitzlist"/>
              <w:numPr>
                <w:ilvl w:val="0"/>
                <w:numId w:val="14"/>
              </w:numPr>
              <w:shd w:val="clear" w:color="auto" w:fill="FFFFFF"/>
              <w:spacing w:after="0" w:line="240" w:lineRule="auto"/>
              <w:jc w:val="both"/>
              <w:rPr>
                <w:rFonts w:asciiTheme="majorHAnsi" w:hAnsiTheme="majorHAnsi" w:cstheme="majorHAnsi"/>
                <w:color w:val="000000"/>
                <w:sz w:val="21"/>
                <w:szCs w:val="21"/>
              </w:rPr>
            </w:pPr>
            <w:r w:rsidRPr="00F40084">
              <w:rPr>
                <w:rFonts w:asciiTheme="majorHAnsi" w:hAnsiTheme="majorHAnsi" w:cstheme="majorHAnsi"/>
                <w:color w:val="000000"/>
                <w:sz w:val="21"/>
                <w:szCs w:val="21"/>
              </w:rPr>
              <w:t xml:space="preserve">Your data appearing on the documents confirming the eligibility of expenditures, indicated in Article 87 (2) point. 3 of the Implementation Act, including bank account number, work experience;</w:t>
            </w:r>
          </w:p>
          <w:p>
            <w:pPr>
              <w:pStyle w:val="Akapitzlist"/>
              <w:numPr>
                <w:ilvl w:val="0"/>
                <w:numId w:val="14"/>
              </w:numPr>
              <w:shd w:val="clear" w:color="auto" w:fill="FFFFFF"/>
              <w:spacing w:after="0" w:line="240" w:lineRule="auto"/>
              <w:jc w:val="both"/>
              <w:rPr>
                <w:rFonts w:asciiTheme="majorHAnsi" w:hAnsiTheme="majorHAnsi" w:cstheme="majorHAnsi"/>
                <w:color w:val="000000"/>
                <w:sz w:val="21"/>
                <w:szCs w:val="21"/>
              </w:rPr>
            </w:pPr>
            <w:r w:rsidRPr="00F40084">
              <w:rPr>
                <w:rFonts w:asciiTheme="majorHAnsi" w:hAnsiTheme="majorHAnsi" w:cstheme="majorHAnsi"/>
                <w:color w:val="000000"/>
                <w:sz w:val="21"/>
                <w:szCs w:val="21"/>
              </w:rPr>
              <w:t xml:space="preserve">data indicated in Article 87(3) of the Implementation Law on racial or ethnic origin or on health, as referred to in Article 9 of the RODO;</w:t>
            </w:r>
          </w:p>
          <w:p>
            <w:pPr>
              <w:pStyle w:val="Akapitzlist"/>
              <w:numPr>
                <w:ilvl w:val="0"/>
                <w:numId w:val="14"/>
              </w:numPr>
              <w:shd w:val="clear" w:color="auto" w:fill="FFFFFF"/>
              <w:spacing w:after="0" w:line="240" w:lineRule="auto"/>
              <w:jc w:val="both"/>
              <w:rPr>
                <w:rFonts w:asciiTheme="majorHAnsi" w:hAnsiTheme="majorHAnsi" w:cstheme="majorHAnsi"/>
                <w:color w:val="000000"/>
                <w:sz w:val="21"/>
                <w:szCs w:val="21"/>
              </w:rPr>
            </w:pPr>
            <w:r w:rsidRPr="00F40084">
              <w:rPr>
                <w:rFonts w:asciiTheme="majorHAnsi" w:hAnsiTheme="majorHAnsi" w:cstheme="majorHAnsi"/>
                <w:sz w:val="21"/>
                <w:szCs w:val="21"/>
              </w:rPr>
              <w:t xml:space="preserve">data on the image of persons participating in the implementation of the Program or taking part in events related to it - on the basis of voluntarily given separate consent.</w:t>
            </w:r>
          </w:p>
        </w:tc>
      </w:tr>
      <w:tr xmlns:wp14="http://schemas.microsoft.com/office/word/2010/wordml" w:rsidRPr="00F40084" w:rsidR="00F40084" w:rsidTr="54F83198" wp14:paraId="78FF1453" wp14:textId="77777777">
        <w:tc>
          <w:tcPr>
            <w:tcW w:w="2439" w:type="dxa"/>
            <w:tcMar/>
          </w:tcPr>
          <w:p>
            <w:pPr>
              <w:tabs>
                <w:tab w:val="left" w:pos="2430"/>
              </w:tabs>
              <w:rPr>
                <w:rFonts w:asciiTheme="majorHAnsi" w:hAnsiTheme="majorHAnsi" w:cstheme="majorHAnsi"/>
                <w:sz w:val="21"/>
                <w:szCs w:val="21"/>
              </w:rPr>
            </w:pPr>
            <w:r w:rsidRPr="00F40084">
              <w:rPr>
                <w:rFonts w:asciiTheme="majorHAnsi" w:hAnsiTheme="majorHAnsi" w:cstheme="majorHAnsi"/>
                <w:sz w:val="21"/>
                <w:szCs w:val="21"/>
              </w:rPr>
              <w:t xml:space="preserve">Period of data processing </w:t>
            </w:r>
          </w:p>
        </w:tc>
        <w:tc>
          <w:tcPr>
            <w:tcW w:w="6623" w:type="dxa"/>
            <w:tcMar/>
          </w:tcPr>
          <w:p>
            <w:pPr>
              <w:tabs>
                <w:tab w:val="left" w:pos="2430"/>
              </w:tabs>
              <w:jc w:val="both"/>
              <w:rPr>
                <w:rFonts w:asciiTheme="majorHAnsi" w:hAnsiTheme="majorHAnsi" w:cstheme="majorHAnsi"/>
                <w:sz w:val="21"/>
                <w:szCs w:val="21"/>
              </w:rPr>
            </w:pPr>
            <w:bookmarkStart w:name="_Hlk150953060" w:id="0"/>
            <w:r w:rsidRPr="00F40084">
              <w:rPr>
                <w:rFonts w:eastAsia="Times New Roman" w:asciiTheme="majorHAnsi" w:hAnsiTheme="majorHAnsi" w:cstheme="majorHAnsi"/>
                <w:color w:val="1C1C1C"/>
                <w:sz w:val="21"/>
                <w:szCs w:val="21"/>
                <w:lang w:eastAsia="pl-PL"/>
              </w:rPr>
              <w:t xml:space="preserve">Your personal data will be processed by the Agency until the purpose of the processing ceases to exist or for a period resulting from the archival category of the documents in which the data are included, </w:t>
            </w:r>
            <w:r w:rsidRPr="00F40084">
              <w:rPr>
                <w:rFonts w:eastAsia="Times New Roman" w:asciiTheme="majorHAnsi" w:hAnsiTheme="majorHAnsi" w:cstheme="majorHAnsi"/>
                <w:color w:val="1C1C1C"/>
                <w:sz w:val="21"/>
                <w:szCs w:val="21"/>
                <w:lang w:eastAsia="pl-PL"/>
              </w:rPr>
              <w:t xml:space="preserve">as defined in the executive regulations of the Act of July 14, 1983 on the national archival resource and archives.</w:t>
            </w:r>
            <w:bookmarkEnd w:id="0"/>
            <w:r w:rsidRPr="00F40084">
              <w:rPr>
                <w:rFonts w:eastAsia="Times New Roman" w:asciiTheme="majorHAnsi" w:hAnsiTheme="majorHAnsi" w:cstheme="majorHAnsi"/>
                <w:color w:val="1C1C1C"/>
                <w:sz w:val="21"/>
                <w:szCs w:val="21"/>
                <w:lang w:eastAsia="pl-PL"/>
              </w:rPr>
              <w:t xml:space="preserve"> . </w:t>
            </w:r>
          </w:p>
        </w:tc>
      </w:tr>
      <w:tr xmlns:wp14="http://schemas.microsoft.com/office/word/2010/wordml" w:rsidRPr="00F40084" w:rsidR="00F40084" w:rsidTr="54F83198" wp14:paraId="4EF98F1A" wp14:textId="77777777">
        <w:tc>
          <w:tcPr>
            <w:tcW w:w="2439" w:type="dxa"/>
            <w:tcMar/>
          </w:tcPr>
          <w:p>
            <w:pPr>
              <w:tabs>
                <w:tab w:val="left" w:pos="2430"/>
              </w:tabs>
              <w:rPr>
                <w:rFonts w:asciiTheme="majorHAnsi" w:hAnsiTheme="majorHAnsi" w:cstheme="majorHAnsi"/>
                <w:sz w:val="21"/>
                <w:szCs w:val="21"/>
              </w:rPr>
            </w:pPr>
            <w:r w:rsidRPr="00F40084">
              <w:rPr>
                <w:rFonts w:asciiTheme="majorHAnsi" w:hAnsiTheme="majorHAnsi" w:cstheme="majorHAnsi"/>
                <w:sz w:val="21"/>
                <w:szCs w:val="21"/>
              </w:rPr>
              <w:t xml:space="preserve">Data sharing/sharing</w:t>
            </w:r>
          </w:p>
        </w:tc>
        <w:tc>
          <w:tcPr>
            <w:tcW w:w="6623" w:type="dxa"/>
            <w:tcMar/>
          </w:tcPr>
          <w:p>
            <w:pPr>
              <w:jc w:val="both"/>
              <w:rPr>
                <w:rFonts w:ascii="Calibri Light" w:hAnsi="Calibri Light" w:cs="Calibri Light" w:asciiTheme="majorAscii" w:hAnsiTheme="majorAscii" w:cstheme="majorAscii"/>
                <w:sz w:val="21"/>
                <w:szCs w:val="21"/>
              </w:rPr>
            </w:pPr>
            <w:bookmarkStart w:name="_Hlk155601738" w:id="1"/>
            <w:r w:rsidRPr="54F83198" w:rsidR="00F40084">
              <w:rPr>
                <w:rFonts w:ascii="Calibri Light" w:hAnsi="Calibri Light" w:cs="Calibri Light" w:asciiTheme="majorAscii" w:hAnsiTheme="majorAscii" w:cstheme="majorAscii"/>
                <w:sz w:val="21"/>
                <w:szCs w:val="21"/>
              </w:rPr>
              <w:t xml:space="preserve">With all guarantees of security, your Agency may make your data available to entities entitled to receive them under the law, including in particular the </w:t>
            </w:r>
            <w:r w:rsidRPr="54F83198" w:rsidR="00F40084">
              <w:rPr>
                <w:rFonts w:ascii="Calibri Light" w:hAnsi="Calibri Light" w:cs="Calibri Light" w:asciiTheme="majorAscii" w:hAnsiTheme="majorAscii" w:cstheme="majorAscii"/>
                <w:sz w:val="21"/>
                <w:szCs w:val="21"/>
              </w:rPr>
              <w:t xml:space="preserve">Implementation </w:t>
            </w:r>
            <w:r w:rsidRPr="54F83198" w:rsidR="00F40084">
              <w:rPr>
                <w:rFonts w:ascii="Calibri Light" w:hAnsi="Calibri Light" w:cs="Calibri Light" w:asciiTheme="majorAscii" w:hAnsiTheme="majorAscii" w:cstheme="majorAscii"/>
                <w:sz w:val="21"/>
                <w:szCs w:val="21"/>
              </w:rPr>
              <w:t xml:space="preserve">Act, </w:t>
            </w:r>
            <w:r w:rsidRPr="54F83198" w:rsidR="00F40084">
              <w:rPr>
                <w:rFonts w:ascii="Calibri Light" w:hAnsi="Calibri Light" w:cs="Calibri Light" w:asciiTheme="majorAscii" w:hAnsiTheme="majorAscii" w:cstheme="majorAscii"/>
                <w:sz w:val="21"/>
                <w:szCs w:val="21"/>
              </w:rPr>
              <w:t xml:space="preserve">or transfer them to entities processing them on behalf of the Agency under an appropriate data processing entrustment agreement.</w:t>
            </w:r>
            <w:bookmarkEnd w:id="1"/>
          </w:p>
        </w:tc>
      </w:tr>
      <w:tr xmlns:wp14="http://schemas.microsoft.com/office/word/2010/wordml" w:rsidRPr="00F40084" w:rsidR="00F40084" w:rsidTr="54F83198" wp14:paraId="57EB1EF9" wp14:textId="77777777">
        <w:tc>
          <w:tcPr>
            <w:tcW w:w="2439" w:type="dxa"/>
            <w:tcMar/>
          </w:tcPr>
          <w:p>
            <w:pPr>
              <w:tabs>
                <w:tab w:val="left" w:pos="2430"/>
              </w:tabs>
              <w:rPr>
                <w:rFonts w:asciiTheme="majorHAnsi" w:hAnsiTheme="majorHAnsi" w:cstheme="majorHAnsi"/>
                <w:sz w:val="21"/>
                <w:szCs w:val="21"/>
              </w:rPr>
            </w:pPr>
            <w:r w:rsidRPr="00F40084">
              <w:rPr>
                <w:rFonts w:asciiTheme="majorHAnsi" w:hAnsiTheme="majorHAnsi" w:cstheme="majorHAnsi"/>
                <w:sz w:val="21"/>
                <w:szCs w:val="21"/>
              </w:rPr>
              <w:t xml:space="preserve">Transfer of data to third countries</w:t>
            </w:r>
          </w:p>
        </w:tc>
        <w:tc>
          <w:tcPr>
            <w:tcW w:w="6623" w:type="dxa"/>
            <w:tcMar/>
          </w:tcPr>
          <w:p>
            <w:pPr>
              <w:tabs>
                <w:tab w:val="left" w:pos="2430"/>
              </w:tabs>
              <w:jc w:val="both"/>
              <w:rPr>
                <w:rFonts w:asciiTheme="majorHAnsi" w:hAnsiTheme="majorHAnsi" w:cstheme="majorHAnsi"/>
                <w:sz w:val="21"/>
                <w:szCs w:val="21"/>
              </w:rPr>
            </w:pPr>
            <w:r w:rsidRPr="00F40084">
              <w:rPr>
                <w:rFonts w:eastAsia="Times New Roman" w:asciiTheme="majorHAnsi" w:hAnsiTheme="majorHAnsi" w:cstheme="majorHAnsi"/>
                <w:color w:val="1C1C1C"/>
                <w:sz w:val="21"/>
                <w:szCs w:val="21"/>
                <w:lang w:eastAsia="pl-PL"/>
              </w:rPr>
              <w:t xml:space="preserve">Your data will not be transferred to a third country or international organization. Should it become necessary to transfer your data to a third country, the Agency will provide adequate safeguards for the transfer and effective legal remedies, in particular the standard contractual clauses adopted by the European Commission, and will inform you accordingly.</w:t>
            </w:r>
          </w:p>
        </w:tc>
      </w:tr>
      <w:tr xmlns:wp14="http://schemas.microsoft.com/office/word/2010/wordml" w:rsidRPr="00F40084" w:rsidR="00F40084" w:rsidTr="54F83198" wp14:paraId="02041D59" wp14:textId="77777777">
        <w:tc>
          <w:tcPr>
            <w:tcW w:w="2439" w:type="dxa"/>
            <w:tcMar/>
          </w:tcPr>
          <w:p>
            <w:pPr>
              <w:rPr>
                <w:rFonts w:asciiTheme="majorHAnsi" w:hAnsiTheme="majorHAnsi" w:cstheme="majorHAnsi"/>
                <w:sz w:val="21"/>
                <w:szCs w:val="21"/>
              </w:rPr>
            </w:pPr>
            <w:r w:rsidRPr="00F40084">
              <w:rPr>
                <w:rFonts w:asciiTheme="majorHAnsi" w:hAnsiTheme="majorHAnsi" w:cstheme="majorHAnsi"/>
                <w:sz w:val="21"/>
                <w:szCs w:val="21"/>
              </w:rPr>
              <w:t xml:space="preserve">Making decisions based solely on </w:t>
            </w:r>
          </w:p>
          <w:p>
            <w:pPr>
              <w:tabs>
                <w:tab w:val="left" w:pos="2430"/>
              </w:tabs>
              <w:rPr>
                <w:rFonts w:asciiTheme="majorHAnsi" w:hAnsiTheme="majorHAnsi" w:cstheme="majorHAnsi"/>
                <w:sz w:val="21"/>
                <w:szCs w:val="21"/>
              </w:rPr>
            </w:pPr>
            <w:r w:rsidRPr="00F40084">
              <w:rPr>
                <w:rFonts w:asciiTheme="majorHAnsi" w:hAnsiTheme="majorHAnsi" w:cstheme="majorHAnsi"/>
                <w:sz w:val="21"/>
                <w:szCs w:val="21"/>
              </w:rPr>
              <w:t xml:space="preserve">Automated processing of personal data, including profiling</w:t>
            </w:r>
          </w:p>
        </w:tc>
        <w:tc>
          <w:tcPr>
            <w:tcW w:w="6623" w:type="dxa"/>
            <w:tcMar/>
          </w:tcPr>
          <w:p>
            <w:pPr>
              <w:tabs>
                <w:tab w:val="left" w:pos="2430"/>
              </w:tabs>
              <w:jc w:val="both"/>
              <w:rPr>
                <w:rFonts w:asciiTheme="majorHAnsi" w:hAnsiTheme="majorHAnsi" w:cstheme="majorHAnsi"/>
                <w:sz w:val="21"/>
                <w:szCs w:val="21"/>
              </w:rPr>
            </w:pPr>
            <w:r w:rsidRPr="00F40084">
              <w:rPr>
                <w:rFonts w:asciiTheme="majorHAnsi" w:hAnsiTheme="majorHAnsi" w:cstheme="majorHAnsi"/>
                <w:sz w:val="21"/>
                <w:szCs w:val="21"/>
              </w:rPr>
              <w:t xml:space="preserve">It does not occur.</w:t>
            </w:r>
          </w:p>
        </w:tc>
      </w:tr>
      <w:tr xmlns:wp14="http://schemas.microsoft.com/office/word/2010/wordml" w:rsidRPr="00F40084" w:rsidR="00F40084" w:rsidTr="54F83198" wp14:paraId="7B4E2DC8" wp14:textId="77777777">
        <w:tc>
          <w:tcPr>
            <w:tcW w:w="2439" w:type="dxa"/>
            <w:tcMar/>
          </w:tcPr>
          <w:p>
            <w:pPr>
              <w:tabs>
                <w:tab w:val="left" w:pos="2430"/>
              </w:tabs>
              <w:rPr>
                <w:rFonts w:asciiTheme="majorHAnsi" w:hAnsiTheme="majorHAnsi" w:cstheme="majorHAnsi"/>
                <w:sz w:val="21"/>
                <w:szCs w:val="21"/>
              </w:rPr>
            </w:pPr>
            <w:r w:rsidRPr="00F40084">
              <w:rPr>
                <w:rFonts w:asciiTheme="majorHAnsi" w:hAnsiTheme="majorHAnsi" w:cstheme="majorHAnsi"/>
                <w:sz w:val="21"/>
                <w:szCs w:val="21"/>
              </w:rPr>
              <w:t xml:space="preserve">Data requirement/source of data</w:t>
            </w:r>
          </w:p>
        </w:tc>
        <w:tc>
          <w:tcPr>
            <w:tcW w:w="6623" w:type="dxa"/>
            <w:tcMar/>
          </w:tcPr>
          <w:p>
            <w:pPr>
              <w:tabs>
                <w:tab w:val="left" w:pos="2430"/>
              </w:tabs>
              <w:jc w:val="both"/>
              <w:rPr>
                <w:rFonts w:asciiTheme="majorHAnsi" w:hAnsiTheme="majorHAnsi" w:cstheme="majorHAnsi"/>
                <w:sz w:val="21"/>
                <w:szCs w:val="21"/>
              </w:rPr>
            </w:pPr>
            <w:r w:rsidRPr="00F40084">
              <w:rPr>
                <w:rFonts w:asciiTheme="majorHAnsi" w:hAnsiTheme="majorHAnsi" w:cstheme="majorHAnsi"/>
                <w:sz w:val="21"/>
                <w:szCs w:val="21"/>
              </w:rPr>
              <w:t xml:space="preserve">The Agency obtains data directly from the data subjects or from institutions and entities involved in the implementation of FERS projects, including in particular applicants and beneficiaries and partners. </w:t>
            </w:r>
            <w:r w:rsidRPr="00F40084">
              <w:rPr>
                <w:rFonts w:eastAsia="Calibri Light" w:asciiTheme="majorHAnsi" w:hAnsiTheme="majorHAnsi" w:cstheme="majorHAnsi"/>
                <w:sz w:val="21"/>
                <w:szCs w:val="21"/>
              </w:rPr>
              <w:t xml:space="preserve">Refusal to provide data means leaving the application unprocessed or not allowing a specific person to participate in the implementation of the Program.</w:t>
            </w:r>
          </w:p>
        </w:tc>
      </w:tr>
      <w:tr xmlns:wp14="http://schemas.microsoft.com/office/word/2010/wordml" w:rsidRPr="00F40084" w:rsidR="00F40084" w:rsidTr="54F83198" wp14:paraId="57374CFD" wp14:textId="77777777">
        <w:tc>
          <w:tcPr>
            <w:tcW w:w="2439" w:type="dxa"/>
            <w:tcMar/>
          </w:tcPr>
          <w:p>
            <w:pPr>
              <w:tabs>
                <w:tab w:val="left" w:pos="2430"/>
              </w:tabs>
              <w:rPr>
                <w:rFonts w:asciiTheme="majorHAnsi" w:hAnsiTheme="majorHAnsi" w:cstheme="majorHAnsi"/>
                <w:sz w:val="21"/>
                <w:szCs w:val="21"/>
              </w:rPr>
            </w:pPr>
            <w:r w:rsidRPr="00F40084">
              <w:rPr>
                <w:rFonts w:asciiTheme="majorHAnsi" w:hAnsiTheme="majorHAnsi" w:cstheme="majorHAnsi"/>
                <w:sz w:val="21"/>
                <w:szCs w:val="21"/>
              </w:rPr>
              <w:t xml:space="preserve">Rights of the data subject</w:t>
            </w:r>
          </w:p>
        </w:tc>
        <w:tc>
          <w:tcPr>
            <w:tcW w:w="6623" w:type="dxa"/>
            <w:tcMar/>
          </w:tcPr>
          <w:p>
            <w:pPr>
              <w:jc w:val="both"/>
              <w:rPr>
                <w:rFonts w:asciiTheme="majorHAnsi" w:hAnsiTheme="majorHAnsi" w:cstheme="majorHAnsi"/>
                <w:sz w:val="21"/>
                <w:szCs w:val="21"/>
              </w:rPr>
            </w:pPr>
            <w:r w:rsidRPr="00F40084">
              <w:rPr>
                <w:rFonts w:asciiTheme="majorHAnsi" w:hAnsiTheme="majorHAnsi" w:cstheme="majorHAnsi"/>
                <w:sz w:val="21"/>
                <w:szCs w:val="21"/>
              </w:rPr>
              <w:t xml:space="preserve">You can make a request to us for access to your personal data, rectification of your data, transfer of your data, and restriction of processing of your personal data - under the terms of the RODO.</w:t>
            </w:r>
          </w:p>
          <w:p>
            <w:pPr>
              <w:jc w:val="both"/>
              <w:rPr>
                <w:rFonts w:asciiTheme="majorHAnsi" w:hAnsiTheme="majorHAnsi" w:cstheme="majorHAnsi"/>
                <w:sz w:val="21"/>
                <w:szCs w:val="21"/>
              </w:rPr>
            </w:pPr>
            <w:r w:rsidRPr="00F40084">
              <w:rPr>
                <w:rFonts w:asciiTheme="majorHAnsi" w:hAnsiTheme="majorHAnsi" w:cstheme="majorHAnsi"/>
                <w:sz w:val="21"/>
                <w:szCs w:val="21"/>
              </w:rPr>
              <w:t xml:space="preserve">You may also file a complaint with the President of the Office for Personal Data Protection if you believe that the Agency's processing of your personal data violates the law.</w:t>
            </w:r>
          </w:p>
        </w:tc>
      </w:tr>
      <w:tr xmlns:wp14="http://schemas.microsoft.com/office/word/2010/wordml" w:rsidRPr="00F40084" w:rsidR="00F40084" w:rsidTr="54F83198" wp14:paraId="0C5E65A4" wp14:textId="77777777">
        <w:tc>
          <w:tcPr>
            <w:tcW w:w="2439" w:type="dxa"/>
            <w:tcMar/>
          </w:tcPr>
          <w:p>
            <w:pPr>
              <w:tabs>
                <w:tab w:val="left" w:pos="2430"/>
              </w:tabs>
              <w:rPr>
                <w:rFonts w:asciiTheme="majorHAnsi" w:hAnsiTheme="majorHAnsi" w:cstheme="majorHAnsi"/>
                <w:sz w:val="21"/>
                <w:szCs w:val="21"/>
              </w:rPr>
            </w:pPr>
            <w:r w:rsidRPr="00F40084">
              <w:rPr>
                <w:rFonts w:asciiTheme="majorHAnsi" w:hAnsiTheme="majorHAnsi" w:cstheme="majorHAnsi"/>
                <w:sz w:val="21"/>
                <w:szCs w:val="21"/>
              </w:rPr>
              <w:t xml:space="preserve">Contact to the Agency's Data Protection Officer</w:t>
            </w:r>
          </w:p>
        </w:tc>
        <w:tc>
          <w:tcPr>
            <w:tcW w:w="6623" w:type="dxa"/>
            <w:tcMar/>
          </w:tcPr>
          <w:p>
            <w:pPr>
              <w:tabs>
                <w:tab w:val="left" w:pos="2430"/>
              </w:tabs>
              <w:jc w:val="both"/>
              <w:rPr>
                <w:rFonts w:asciiTheme="majorHAnsi" w:hAnsiTheme="majorHAnsi" w:cstheme="majorHAnsi"/>
                <w:sz w:val="21"/>
                <w:szCs w:val="21"/>
              </w:rPr>
            </w:pPr>
            <w:r w:rsidRPr="00F40084">
              <w:rPr>
                <w:rFonts w:asciiTheme="majorHAnsi" w:hAnsiTheme="majorHAnsi" w:cstheme="majorHAnsi"/>
                <w:sz w:val="21"/>
                <w:szCs w:val="21"/>
              </w:rPr>
              <w:t xml:space="preserve">odo@nawa.gov.pl</w:t>
            </w:r>
          </w:p>
        </w:tc>
      </w:tr>
    </w:tbl>
    <w:p xmlns:wp14="http://schemas.microsoft.com/office/word/2010/wordml" w:rsidRPr="00F40084" w:rsidR="00F40084" w:rsidP="00F40084" w:rsidRDefault="00F40084" wp14:paraId="1FC39945" wp14:textId="77777777">
      <w:pPr>
        <w:tabs>
          <w:tab w:val="left" w:pos="2430"/>
        </w:tabs>
        <w:rPr>
          <w:rFonts w:asciiTheme="majorHAnsi" w:hAnsiTheme="majorHAnsi" w:cstheme="majorHAnsi"/>
          <w:sz w:val="21"/>
          <w:szCs w:val="21"/>
        </w:rPr>
      </w:pPr>
    </w:p>
    <w:p xmlns:wp14="http://schemas.microsoft.com/office/word/2010/wordml" w:rsidRPr="00F40084" w:rsidR="00F40084" w:rsidP="00F40084" w:rsidRDefault="00F40084" wp14:paraId="0562CB0E" wp14:textId="77777777">
      <w:pPr>
        <w:spacing w:after="0" w:line="276" w:lineRule="auto"/>
        <w:rPr>
          <w:rFonts w:asciiTheme="majorHAnsi" w:hAnsiTheme="majorHAnsi" w:cstheme="majorHAnsi"/>
          <w:sz w:val="21"/>
          <w:szCs w:val="21"/>
        </w:rPr>
      </w:pPr>
    </w:p>
    <w:p>
      <w:pPr>
        <w:spacing w:after="0" w:line="240" w:lineRule="auto"/>
        <w:rPr>
          <w:rFonts w:asciiTheme="majorHAnsi" w:hAnsiTheme="majorHAnsi" w:eastAsiaTheme="majorEastAsia" w:cstheme="majorHAnsi"/>
          <w:sz w:val="21"/>
          <w:szCs w:val="21"/>
        </w:rPr>
      </w:pPr>
      <w:r w:rsidRPr="00F40084">
        <w:rPr>
          <w:rFonts w:asciiTheme="majorHAnsi" w:hAnsiTheme="majorHAnsi" w:eastAsiaTheme="majorEastAsia" w:cstheme="majorHAnsi"/>
          <w:sz w:val="21"/>
          <w:szCs w:val="21"/>
        </w:rPr>
        <w:t xml:space="preserve">Signature of the project participant</w:t>
      </w:r>
    </w:p>
    <w:p>
      <w:pPr>
        <w:spacing w:after="0" w:line="240" w:lineRule="auto"/>
        <w:rPr>
          <w:rFonts w:eastAsia="Calibri" w:asciiTheme="majorHAnsi" w:hAnsiTheme="majorHAnsi" w:cstheme="majorHAnsi"/>
          <w:b/>
          <w:bCs/>
          <w:sz w:val="21"/>
          <w:szCs w:val="21"/>
        </w:rPr>
      </w:pPr>
      <w:r w:rsidRPr="00F40084">
        <w:rPr>
          <w:rFonts w:asciiTheme="majorHAnsi" w:hAnsiTheme="majorHAnsi" w:cstheme="majorHAnsi"/>
          <w:i/>
          <w:sz w:val="21"/>
          <w:szCs w:val="21"/>
        </w:rPr>
        <w:t xml:space="preserve">[signed: qualified electronic signature; trusted profile; handwritten signature; electronic authorization].</w:t>
      </w:r>
    </w:p>
    <w:p xmlns:wp14="http://schemas.microsoft.com/office/word/2010/wordml" w:rsidRPr="00765E87" w:rsidR="00F40084" w:rsidP="00765E87" w:rsidRDefault="00F40084" wp14:paraId="34CE0A41" wp14:textId="77777777">
      <w:pPr>
        <w:spacing w:after="0"/>
        <w:jc w:val="center"/>
        <w:rPr>
          <w:rFonts w:asciiTheme="majorHAnsi" w:hAnsiTheme="majorHAnsi" w:cstheme="majorHAnsi"/>
          <w:sz w:val="23"/>
          <w:szCs w:val="23"/>
        </w:rPr>
      </w:pPr>
      <w:bookmarkStart w:name="_GoBack" w:id="2"/>
      <w:bookmarkEnd w:id="2"/>
    </w:p>
    <w:sectPr w:rsidRPr="00765E87" w:rsidR="00F40084" w:rsidSect="00B30E42">
      <w:headerReference w:type="default" r:id="rId20"/>
      <w:pgSz w:w="11906" w:h="16838" w:orient="portrait"/>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8C7F71" w:rsidP="00B30E42" w:rsidRDefault="008C7F71" wp14:paraId="6D98A12B" wp14:textId="77777777">
      <w:pPr>
        <w:spacing w:after="0" w:line="240" w:lineRule="auto"/>
      </w:pPr>
      <w:r>
        <w:separator/>
      </w:r>
    </w:p>
  </w:endnote>
  <w:endnote w:type="continuationSeparator" w:id="0">
    <w:p xmlns:wp14="http://schemas.microsoft.com/office/word/2010/wordml" w:rsidR="008C7F71" w:rsidP="00B30E42" w:rsidRDefault="008C7F71" wp14:paraId="2946DB82"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8C7F71" w:rsidP="00B30E42" w:rsidRDefault="008C7F71" wp14:paraId="5997CC1D" wp14:textId="77777777">
      <w:pPr>
        <w:spacing w:after="0" w:line="240" w:lineRule="auto"/>
      </w:pPr>
      <w:r>
        <w:separator/>
      </w:r>
    </w:p>
  </w:footnote>
  <w:footnote w:type="continuationSeparator" w:id="0">
    <w:p xmlns:wp14="http://schemas.microsoft.com/office/word/2010/wordml" w:rsidR="008C7F71" w:rsidP="00B30E42" w:rsidRDefault="008C7F71" wp14:paraId="110FFD37" wp14:textId="77777777">
      <w:pPr>
        <w:spacing w:after="0" w:line="240" w:lineRule="auto"/>
      </w:pPr>
      <w:r>
        <w:continuationSeparator/>
      </w:r>
    </w:p>
  </w:footnote>
  <w:footnote w:id="1">
    <w:p>
      <w:pPr>
        <w:pStyle w:val="Tekstprzypisudolnego"/>
        <w:jc w:val="both"/>
        <w:rPr>
          <w:rFonts w:asciiTheme="majorHAnsi" w:hAnsiTheme="majorHAnsi" w:cstheme="majorHAnsi"/>
          <w:sz w:val="13"/>
          <w:szCs w:val="13"/>
        </w:rPr>
      </w:pPr>
      <w:r w:rsidRPr="00FF724B">
        <w:rPr>
          <w:rStyle w:val="Odwoanieprzypisudolnego"/>
          <w:rFonts w:asciiTheme="majorHAnsi" w:hAnsiTheme="majorHAnsi" w:cstheme="majorHAnsi"/>
          <w:sz w:val="15"/>
          <w:szCs w:val="15"/>
        </w:rPr>
        <w:footnoteRef/>
      </w:r>
      <w:r w:rsidRPr="004736A6">
        <w:rPr>
          <w:rFonts w:asciiTheme="majorHAnsi" w:hAnsiTheme="majorHAnsi" w:cstheme="majorHAnsi"/>
          <w:color w:val="000000"/>
          <w:sz w:val="13"/>
          <w:szCs w:val="13"/>
        </w:rPr>
        <w:t xml:space="preserve"> Regulation (EU) 2016/679 of the European Parliament and of the Council of 27 April 2016 on the protection of natural persons with regard to the processing of personal data and on the free movement of such data and repealing Directive 95/46/EC</w:t>
      </w:r>
    </w:p>
  </w:footnote>
  <w:footnote w:id="2">
    <w:p>
      <w:pPr>
        <w:tabs>
          <w:tab w:val="left" w:pos="2430"/>
        </w:tabs>
        <w:rPr>
          <w:rFonts w:asciiTheme="majorHAnsi" w:hAnsiTheme="majorHAnsi" w:cstheme="majorHAnsi"/>
        </w:rPr>
      </w:pPr>
      <w:r w:rsidRPr="004736A6">
        <w:rPr>
          <w:rStyle w:val="Odwoanieprzypisudolnego"/>
          <w:rFonts w:asciiTheme="majorHAnsi" w:hAnsiTheme="majorHAnsi" w:cstheme="majorHAnsi"/>
          <w:sz w:val="13"/>
          <w:szCs w:val="13"/>
        </w:rPr>
        <w:footnoteRef/>
      </w:r>
      <w:r w:rsidRPr="004736A6">
        <w:rPr>
          <w:rFonts w:asciiTheme="majorHAnsi" w:hAnsiTheme="majorHAnsi" w:cstheme="majorHAnsi"/>
          <w:color w:val="000000"/>
          <w:sz w:val="13"/>
          <w:szCs w:val="13"/>
        </w:rPr>
        <w:t xml:space="preserve"> Law of April 28, 2022 on the principles of implementation of tasks financed from European funds in the financial perspective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B30E42" w:rsidRDefault="00B30E42" wp14:paraId="62EBF3C5" wp14:textId="77777777">
    <w:pPr>
      <w:pStyle w:val="Nagwek"/>
    </w:pPr>
    <w:r>
      <w:rPr>
        <w:noProof/>
        <w:lang w:eastAsia="pl-PL"/>
      </w:rPr>
      <w:drawing>
        <wp:inline xmlns:wp14="http://schemas.microsoft.com/office/word/2010/wordprocessingDrawing" distT="0" distB="0" distL="0" distR="0" wp14:anchorId="2A3756BA" wp14:editId="2806E1E8">
          <wp:extent cx="5760720" cy="6127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S-RP-UE-NAWA-poziom-kolo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1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9B1E"/>
    <w:multiLevelType w:val="hybridMultilevel"/>
    <w:tmpl w:val="96DE447E"/>
    <w:lvl w:ilvl="0" w:tplc="FF9CBA38">
      <w:start w:val="1"/>
      <w:numFmt w:val="decimal"/>
      <w:lvlText w:val="%1."/>
      <w:lvlJc w:val="left"/>
      <w:pPr>
        <w:ind w:left="720" w:hanging="360"/>
      </w:pPr>
    </w:lvl>
    <w:lvl w:ilvl="1" w:tplc="A3EAE4A4">
      <w:start w:val="1"/>
      <w:numFmt w:val="lowerLetter"/>
      <w:lvlText w:val="%2."/>
      <w:lvlJc w:val="left"/>
      <w:pPr>
        <w:ind w:left="1440" w:hanging="360"/>
      </w:pPr>
    </w:lvl>
    <w:lvl w:ilvl="2" w:tplc="080061E2">
      <w:start w:val="1"/>
      <w:numFmt w:val="lowerRoman"/>
      <w:lvlText w:val="%3."/>
      <w:lvlJc w:val="right"/>
      <w:pPr>
        <w:ind w:left="2160" w:hanging="180"/>
      </w:pPr>
    </w:lvl>
    <w:lvl w:ilvl="3" w:tplc="8C201B40">
      <w:start w:val="1"/>
      <w:numFmt w:val="decimal"/>
      <w:lvlText w:val="%4."/>
      <w:lvlJc w:val="left"/>
      <w:pPr>
        <w:ind w:left="2880" w:hanging="360"/>
      </w:pPr>
    </w:lvl>
    <w:lvl w:ilvl="4" w:tplc="CDFE21CC">
      <w:start w:val="1"/>
      <w:numFmt w:val="lowerLetter"/>
      <w:lvlText w:val="%5."/>
      <w:lvlJc w:val="left"/>
      <w:pPr>
        <w:ind w:left="3600" w:hanging="360"/>
      </w:pPr>
    </w:lvl>
    <w:lvl w:ilvl="5" w:tplc="15BADA28">
      <w:start w:val="1"/>
      <w:numFmt w:val="lowerRoman"/>
      <w:lvlText w:val="%6."/>
      <w:lvlJc w:val="right"/>
      <w:pPr>
        <w:ind w:left="4320" w:hanging="180"/>
      </w:pPr>
    </w:lvl>
    <w:lvl w:ilvl="6" w:tplc="B9A0A0B0">
      <w:start w:val="1"/>
      <w:numFmt w:val="decimal"/>
      <w:lvlText w:val="%7."/>
      <w:lvlJc w:val="left"/>
      <w:pPr>
        <w:ind w:left="5040" w:hanging="360"/>
      </w:pPr>
    </w:lvl>
    <w:lvl w:ilvl="7" w:tplc="0E76009A">
      <w:start w:val="1"/>
      <w:numFmt w:val="lowerLetter"/>
      <w:lvlText w:val="%8."/>
      <w:lvlJc w:val="left"/>
      <w:pPr>
        <w:ind w:left="5760" w:hanging="360"/>
      </w:pPr>
    </w:lvl>
    <w:lvl w:ilvl="8" w:tplc="60C494B0">
      <w:start w:val="1"/>
      <w:numFmt w:val="lowerRoman"/>
      <w:lvlText w:val="%9."/>
      <w:lvlJc w:val="right"/>
      <w:pPr>
        <w:ind w:left="6480" w:hanging="180"/>
      </w:pPr>
    </w:lvl>
  </w:abstractNum>
  <w:abstractNum w:abstractNumId="1" w15:restartNumberingAfterBreak="0">
    <w:nsid w:val="0CC106A5"/>
    <w:multiLevelType w:val="hybridMultilevel"/>
    <w:tmpl w:val="FF96C060"/>
    <w:lvl w:ilvl="0" w:tplc="B2FC0008">
      <w:start w:val="1"/>
      <w:numFmt w:val="bullet"/>
      <w:lvlText w:val=""/>
      <w:lvlJc w:val="left"/>
      <w:pPr>
        <w:ind w:left="720" w:hanging="360"/>
      </w:pPr>
      <w:rPr>
        <w:rFonts w:hint="default" w:ascii="Symbol" w:hAnsi="Symbol"/>
        <w:sz w:val="27"/>
        <w:szCs w:val="27"/>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 w15:restartNumberingAfterBreak="0">
    <w:nsid w:val="17E52059"/>
    <w:multiLevelType w:val="hybridMultilevel"/>
    <w:tmpl w:val="657EE78A"/>
    <w:lvl w:ilvl="0" w:tplc="458A28A0">
      <w:start w:val="1"/>
      <w:numFmt w:val="upperRoman"/>
      <w:lvlText w:val="%1."/>
      <w:lvlJc w:val="right"/>
      <w:pPr>
        <w:ind w:left="720" w:hanging="360"/>
      </w:pPr>
    </w:lvl>
    <w:lvl w:ilvl="1" w:tplc="E514B396">
      <w:start w:val="1"/>
      <w:numFmt w:val="lowerLetter"/>
      <w:lvlText w:val="%2."/>
      <w:lvlJc w:val="left"/>
      <w:pPr>
        <w:ind w:left="1440" w:hanging="360"/>
      </w:pPr>
    </w:lvl>
    <w:lvl w:ilvl="2" w:tplc="2F648CD0">
      <w:start w:val="1"/>
      <w:numFmt w:val="lowerRoman"/>
      <w:lvlText w:val="%3."/>
      <w:lvlJc w:val="right"/>
      <w:pPr>
        <w:ind w:left="2160" w:hanging="180"/>
      </w:pPr>
    </w:lvl>
    <w:lvl w:ilvl="3" w:tplc="7E7A7344">
      <w:start w:val="1"/>
      <w:numFmt w:val="decimal"/>
      <w:lvlText w:val="%4."/>
      <w:lvlJc w:val="left"/>
      <w:pPr>
        <w:ind w:left="2880" w:hanging="360"/>
      </w:pPr>
    </w:lvl>
    <w:lvl w:ilvl="4" w:tplc="63A656F2">
      <w:start w:val="1"/>
      <w:numFmt w:val="lowerLetter"/>
      <w:lvlText w:val="%5."/>
      <w:lvlJc w:val="left"/>
      <w:pPr>
        <w:ind w:left="3600" w:hanging="360"/>
      </w:pPr>
    </w:lvl>
    <w:lvl w:ilvl="5" w:tplc="1026C81E">
      <w:start w:val="1"/>
      <w:numFmt w:val="lowerRoman"/>
      <w:lvlText w:val="%6."/>
      <w:lvlJc w:val="right"/>
      <w:pPr>
        <w:ind w:left="4320" w:hanging="180"/>
      </w:pPr>
    </w:lvl>
    <w:lvl w:ilvl="6" w:tplc="99FCD5A8">
      <w:start w:val="1"/>
      <w:numFmt w:val="decimal"/>
      <w:lvlText w:val="%7."/>
      <w:lvlJc w:val="left"/>
      <w:pPr>
        <w:ind w:left="5040" w:hanging="360"/>
      </w:pPr>
    </w:lvl>
    <w:lvl w:ilvl="7" w:tplc="1C0C7678">
      <w:start w:val="1"/>
      <w:numFmt w:val="lowerLetter"/>
      <w:lvlText w:val="%8."/>
      <w:lvlJc w:val="left"/>
      <w:pPr>
        <w:ind w:left="5760" w:hanging="360"/>
      </w:pPr>
    </w:lvl>
    <w:lvl w:ilvl="8" w:tplc="78A2751A">
      <w:start w:val="1"/>
      <w:numFmt w:val="lowerRoman"/>
      <w:lvlText w:val="%9."/>
      <w:lvlJc w:val="right"/>
      <w:pPr>
        <w:ind w:left="6480" w:hanging="180"/>
      </w:pPr>
    </w:lvl>
  </w:abstractNum>
  <w:abstractNum w:abstractNumId="3" w15:restartNumberingAfterBreak="0">
    <w:nsid w:val="18CC8E79"/>
    <w:multiLevelType w:val="hybridMultilevel"/>
    <w:tmpl w:val="FC32B9A4"/>
    <w:lvl w:ilvl="0" w:tplc="50460D84">
      <w:start w:val="1"/>
      <w:numFmt w:val="decimal"/>
      <w:lvlText w:val="%1."/>
      <w:lvlJc w:val="left"/>
      <w:pPr>
        <w:ind w:left="720" w:hanging="360"/>
      </w:pPr>
    </w:lvl>
    <w:lvl w:ilvl="1" w:tplc="D60049B8">
      <w:start w:val="1"/>
      <w:numFmt w:val="lowerLetter"/>
      <w:lvlText w:val="%2."/>
      <w:lvlJc w:val="left"/>
      <w:pPr>
        <w:ind w:left="1440" w:hanging="360"/>
      </w:pPr>
    </w:lvl>
    <w:lvl w:ilvl="2" w:tplc="75CA2F12">
      <w:start w:val="1"/>
      <w:numFmt w:val="lowerRoman"/>
      <w:lvlText w:val="%3."/>
      <w:lvlJc w:val="right"/>
      <w:pPr>
        <w:ind w:left="2160" w:hanging="180"/>
      </w:pPr>
    </w:lvl>
    <w:lvl w:ilvl="3" w:tplc="4096331E">
      <w:start w:val="1"/>
      <w:numFmt w:val="decimal"/>
      <w:lvlText w:val="%4."/>
      <w:lvlJc w:val="left"/>
      <w:pPr>
        <w:ind w:left="2880" w:hanging="360"/>
      </w:pPr>
    </w:lvl>
    <w:lvl w:ilvl="4" w:tplc="8576A7E6">
      <w:start w:val="1"/>
      <w:numFmt w:val="lowerLetter"/>
      <w:lvlText w:val="%5."/>
      <w:lvlJc w:val="left"/>
      <w:pPr>
        <w:ind w:left="3600" w:hanging="360"/>
      </w:pPr>
    </w:lvl>
    <w:lvl w:ilvl="5" w:tplc="A698884C">
      <w:start w:val="1"/>
      <w:numFmt w:val="lowerRoman"/>
      <w:lvlText w:val="%6."/>
      <w:lvlJc w:val="right"/>
      <w:pPr>
        <w:ind w:left="4320" w:hanging="180"/>
      </w:pPr>
    </w:lvl>
    <w:lvl w:ilvl="6" w:tplc="4B80C4EE">
      <w:start w:val="1"/>
      <w:numFmt w:val="decimal"/>
      <w:lvlText w:val="%7."/>
      <w:lvlJc w:val="left"/>
      <w:pPr>
        <w:ind w:left="5040" w:hanging="360"/>
      </w:pPr>
    </w:lvl>
    <w:lvl w:ilvl="7" w:tplc="54CC81AA">
      <w:start w:val="1"/>
      <w:numFmt w:val="lowerLetter"/>
      <w:lvlText w:val="%8."/>
      <w:lvlJc w:val="left"/>
      <w:pPr>
        <w:ind w:left="5760" w:hanging="360"/>
      </w:pPr>
    </w:lvl>
    <w:lvl w:ilvl="8" w:tplc="DBA25546">
      <w:start w:val="1"/>
      <w:numFmt w:val="lowerRoman"/>
      <w:lvlText w:val="%9."/>
      <w:lvlJc w:val="right"/>
      <w:pPr>
        <w:ind w:left="6480" w:hanging="180"/>
      </w:pPr>
    </w:lvl>
  </w:abstractNum>
  <w:abstractNum w:abstractNumId="4" w15:restartNumberingAfterBreak="0">
    <w:nsid w:val="1B681399"/>
    <w:multiLevelType w:val="hybridMultilevel"/>
    <w:tmpl w:val="8F0C49C0"/>
    <w:lvl w:ilvl="0" w:tplc="A81E3246">
      <w:start w:val="1"/>
      <w:numFmt w:val="bullet"/>
      <w:lvlText w:val=""/>
      <w:lvlJc w:val="left"/>
      <w:pPr>
        <w:ind w:left="1080" w:hanging="360"/>
      </w:pPr>
      <w:rPr>
        <w:rFonts w:hint="default" w:ascii="Symbol" w:hAnsi="Symbol"/>
        <w:sz w:val="31"/>
        <w:szCs w:val="31"/>
      </w:rPr>
    </w:lvl>
    <w:lvl w:ilvl="1" w:tplc="A858E4F6">
      <w:start w:val="1"/>
      <w:numFmt w:val="lowerLetter"/>
      <w:lvlText w:val="%2."/>
      <w:lvlJc w:val="left"/>
      <w:pPr>
        <w:ind w:left="1800" w:hanging="360"/>
      </w:pPr>
    </w:lvl>
    <w:lvl w:ilvl="2" w:tplc="431AA7D6">
      <w:start w:val="1"/>
      <w:numFmt w:val="lowerRoman"/>
      <w:lvlText w:val="%3."/>
      <w:lvlJc w:val="right"/>
      <w:pPr>
        <w:ind w:left="2520" w:hanging="180"/>
      </w:pPr>
    </w:lvl>
    <w:lvl w:ilvl="3" w:tplc="29B8C9E4">
      <w:start w:val="1"/>
      <w:numFmt w:val="decimal"/>
      <w:lvlText w:val="%4."/>
      <w:lvlJc w:val="left"/>
      <w:pPr>
        <w:ind w:left="3240" w:hanging="360"/>
      </w:pPr>
    </w:lvl>
    <w:lvl w:ilvl="4" w:tplc="C35E8CC8">
      <w:start w:val="1"/>
      <w:numFmt w:val="lowerLetter"/>
      <w:lvlText w:val="%5."/>
      <w:lvlJc w:val="left"/>
      <w:pPr>
        <w:ind w:left="3960" w:hanging="360"/>
      </w:pPr>
    </w:lvl>
    <w:lvl w:ilvl="5" w:tplc="4136426A">
      <w:start w:val="1"/>
      <w:numFmt w:val="lowerRoman"/>
      <w:lvlText w:val="%6."/>
      <w:lvlJc w:val="right"/>
      <w:pPr>
        <w:ind w:left="4680" w:hanging="180"/>
      </w:pPr>
    </w:lvl>
    <w:lvl w:ilvl="6" w:tplc="3EEE922A">
      <w:start w:val="1"/>
      <w:numFmt w:val="decimal"/>
      <w:lvlText w:val="%7."/>
      <w:lvlJc w:val="left"/>
      <w:pPr>
        <w:ind w:left="5400" w:hanging="360"/>
      </w:pPr>
    </w:lvl>
    <w:lvl w:ilvl="7" w:tplc="D3200636">
      <w:start w:val="1"/>
      <w:numFmt w:val="lowerLetter"/>
      <w:lvlText w:val="%8."/>
      <w:lvlJc w:val="left"/>
      <w:pPr>
        <w:ind w:left="6120" w:hanging="360"/>
      </w:pPr>
    </w:lvl>
    <w:lvl w:ilvl="8" w:tplc="869A39DE">
      <w:start w:val="1"/>
      <w:numFmt w:val="lowerRoman"/>
      <w:lvlText w:val="%9."/>
      <w:lvlJc w:val="right"/>
      <w:pPr>
        <w:ind w:left="6840" w:hanging="180"/>
      </w:pPr>
    </w:lvl>
  </w:abstractNum>
  <w:abstractNum w:abstractNumId="5" w15:restartNumberingAfterBreak="0">
    <w:nsid w:val="336D249D"/>
    <w:multiLevelType w:val="hybridMultilevel"/>
    <w:tmpl w:val="8556DC9E"/>
    <w:lvl w:ilvl="0" w:tplc="A81E3246">
      <w:start w:val="1"/>
      <w:numFmt w:val="bullet"/>
      <w:lvlText w:val=""/>
      <w:lvlJc w:val="left"/>
      <w:pPr>
        <w:ind w:left="360" w:hanging="360"/>
      </w:pPr>
      <w:rPr>
        <w:rFonts w:hint="default" w:ascii="Symbol" w:hAnsi="Symbol"/>
        <w:sz w:val="31"/>
        <w:szCs w:val="31"/>
      </w:rPr>
    </w:lvl>
    <w:lvl w:ilvl="1" w:tplc="04150003" w:tentative="1">
      <w:start w:val="1"/>
      <w:numFmt w:val="bullet"/>
      <w:lvlText w:val="o"/>
      <w:lvlJc w:val="left"/>
      <w:pPr>
        <w:ind w:left="1080" w:hanging="360"/>
      </w:pPr>
      <w:rPr>
        <w:rFonts w:hint="default" w:ascii="Courier New" w:hAnsi="Courier New" w:cs="Courier New"/>
      </w:rPr>
    </w:lvl>
    <w:lvl w:ilvl="2" w:tplc="04150005" w:tentative="1">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cs="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cs="Courier New"/>
      </w:rPr>
    </w:lvl>
    <w:lvl w:ilvl="8" w:tplc="04150005" w:tentative="1">
      <w:start w:val="1"/>
      <w:numFmt w:val="bullet"/>
      <w:lvlText w:val=""/>
      <w:lvlJc w:val="left"/>
      <w:pPr>
        <w:ind w:left="6120" w:hanging="360"/>
      </w:pPr>
      <w:rPr>
        <w:rFonts w:hint="default" w:ascii="Wingdings" w:hAnsi="Wingdings"/>
      </w:rPr>
    </w:lvl>
  </w:abstractNum>
  <w:abstractNum w:abstractNumId="6" w15:restartNumberingAfterBreak="0">
    <w:nsid w:val="392170C9"/>
    <w:multiLevelType w:val="hybridMultilevel"/>
    <w:tmpl w:val="258CE894"/>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hint="default" w:ascii="Courier New" w:hAnsi="Courier New" w:cs="Courier New"/>
      </w:rPr>
    </w:lvl>
    <w:lvl w:ilvl="2" w:tplc="04150005" w:tentative="1">
      <w:start w:val="1"/>
      <w:numFmt w:val="bullet"/>
      <w:lvlText w:val=""/>
      <w:lvlJc w:val="left"/>
      <w:pPr>
        <w:ind w:left="2162" w:hanging="360"/>
      </w:pPr>
      <w:rPr>
        <w:rFonts w:hint="default" w:ascii="Wingdings" w:hAnsi="Wingdings"/>
      </w:rPr>
    </w:lvl>
    <w:lvl w:ilvl="3" w:tplc="04150001" w:tentative="1">
      <w:start w:val="1"/>
      <w:numFmt w:val="bullet"/>
      <w:lvlText w:val=""/>
      <w:lvlJc w:val="left"/>
      <w:pPr>
        <w:ind w:left="2882" w:hanging="360"/>
      </w:pPr>
      <w:rPr>
        <w:rFonts w:hint="default" w:ascii="Symbol" w:hAnsi="Symbol"/>
      </w:rPr>
    </w:lvl>
    <w:lvl w:ilvl="4" w:tplc="04150003" w:tentative="1">
      <w:start w:val="1"/>
      <w:numFmt w:val="bullet"/>
      <w:lvlText w:val="o"/>
      <w:lvlJc w:val="left"/>
      <w:pPr>
        <w:ind w:left="3602" w:hanging="360"/>
      </w:pPr>
      <w:rPr>
        <w:rFonts w:hint="default" w:ascii="Courier New" w:hAnsi="Courier New" w:cs="Courier New"/>
      </w:rPr>
    </w:lvl>
    <w:lvl w:ilvl="5" w:tplc="04150005" w:tentative="1">
      <w:start w:val="1"/>
      <w:numFmt w:val="bullet"/>
      <w:lvlText w:val=""/>
      <w:lvlJc w:val="left"/>
      <w:pPr>
        <w:ind w:left="4322" w:hanging="360"/>
      </w:pPr>
      <w:rPr>
        <w:rFonts w:hint="default" w:ascii="Wingdings" w:hAnsi="Wingdings"/>
      </w:rPr>
    </w:lvl>
    <w:lvl w:ilvl="6" w:tplc="04150001" w:tentative="1">
      <w:start w:val="1"/>
      <w:numFmt w:val="bullet"/>
      <w:lvlText w:val=""/>
      <w:lvlJc w:val="left"/>
      <w:pPr>
        <w:ind w:left="5042" w:hanging="360"/>
      </w:pPr>
      <w:rPr>
        <w:rFonts w:hint="default" w:ascii="Symbol" w:hAnsi="Symbol"/>
      </w:rPr>
    </w:lvl>
    <w:lvl w:ilvl="7" w:tplc="04150003" w:tentative="1">
      <w:start w:val="1"/>
      <w:numFmt w:val="bullet"/>
      <w:lvlText w:val="o"/>
      <w:lvlJc w:val="left"/>
      <w:pPr>
        <w:ind w:left="5762" w:hanging="360"/>
      </w:pPr>
      <w:rPr>
        <w:rFonts w:hint="default" w:ascii="Courier New" w:hAnsi="Courier New" w:cs="Courier New"/>
      </w:rPr>
    </w:lvl>
    <w:lvl w:ilvl="8" w:tplc="04150005" w:tentative="1">
      <w:start w:val="1"/>
      <w:numFmt w:val="bullet"/>
      <w:lvlText w:val=""/>
      <w:lvlJc w:val="left"/>
      <w:pPr>
        <w:ind w:left="6482" w:hanging="360"/>
      </w:pPr>
      <w:rPr>
        <w:rFonts w:hint="default" w:ascii="Wingdings" w:hAnsi="Wingdings"/>
      </w:rPr>
    </w:lvl>
  </w:abstractNum>
  <w:abstractNum w:abstractNumId="7" w15:restartNumberingAfterBreak="0">
    <w:nsid w:val="39D6D17F"/>
    <w:multiLevelType w:val="hybridMultilevel"/>
    <w:tmpl w:val="283E17D0"/>
    <w:lvl w:ilvl="0" w:tplc="FF18DDDE">
      <w:start w:val="1"/>
      <w:numFmt w:val="bullet"/>
      <w:lvlText w:val="§"/>
      <w:lvlJc w:val="left"/>
      <w:pPr>
        <w:ind w:left="720" w:hanging="360"/>
      </w:pPr>
      <w:rPr>
        <w:rFonts w:hint="default" w:ascii="Wingdings" w:hAnsi="Wingdings"/>
      </w:rPr>
    </w:lvl>
    <w:lvl w:ilvl="1" w:tplc="4D62FB94">
      <w:start w:val="1"/>
      <w:numFmt w:val="bullet"/>
      <w:lvlText w:val="o"/>
      <w:lvlJc w:val="left"/>
      <w:pPr>
        <w:ind w:left="1440" w:hanging="360"/>
      </w:pPr>
      <w:rPr>
        <w:rFonts w:hint="default" w:ascii="Courier New" w:hAnsi="Courier New"/>
      </w:rPr>
    </w:lvl>
    <w:lvl w:ilvl="2" w:tplc="0DEC7840">
      <w:start w:val="1"/>
      <w:numFmt w:val="bullet"/>
      <w:lvlText w:val=""/>
      <w:lvlJc w:val="left"/>
      <w:pPr>
        <w:ind w:left="2160" w:hanging="360"/>
      </w:pPr>
      <w:rPr>
        <w:rFonts w:hint="default" w:ascii="Wingdings" w:hAnsi="Wingdings"/>
      </w:rPr>
    </w:lvl>
    <w:lvl w:ilvl="3" w:tplc="BA78044C">
      <w:start w:val="1"/>
      <w:numFmt w:val="bullet"/>
      <w:lvlText w:val=""/>
      <w:lvlJc w:val="left"/>
      <w:pPr>
        <w:ind w:left="2880" w:hanging="360"/>
      </w:pPr>
      <w:rPr>
        <w:rFonts w:hint="default" w:ascii="Symbol" w:hAnsi="Symbol"/>
      </w:rPr>
    </w:lvl>
    <w:lvl w:ilvl="4" w:tplc="391A00FE">
      <w:start w:val="1"/>
      <w:numFmt w:val="bullet"/>
      <w:lvlText w:val="o"/>
      <w:lvlJc w:val="left"/>
      <w:pPr>
        <w:ind w:left="3600" w:hanging="360"/>
      </w:pPr>
      <w:rPr>
        <w:rFonts w:hint="default" w:ascii="Courier New" w:hAnsi="Courier New"/>
      </w:rPr>
    </w:lvl>
    <w:lvl w:ilvl="5" w:tplc="5742D5C0">
      <w:start w:val="1"/>
      <w:numFmt w:val="bullet"/>
      <w:lvlText w:val=""/>
      <w:lvlJc w:val="left"/>
      <w:pPr>
        <w:ind w:left="4320" w:hanging="360"/>
      </w:pPr>
      <w:rPr>
        <w:rFonts w:hint="default" w:ascii="Wingdings" w:hAnsi="Wingdings"/>
      </w:rPr>
    </w:lvl>
    <w:lvl w:ilvl="6" w:tplc="BCE40D96">
      <w:start w:val="1"/>
      <w:numFmt w:val="bullet"/>
      <w:lvlText w:val=""/>
      <w:lvlJc w:val="left"/>
      <w:pPr>
        <w:ind w:left="5040" w:hanging="360"/>
      </w:pPr>
      <w:rPr>
        <w:rFonts w:hint="default" w:ascii="Symbol" w:hAnsi="Symbol"/>
      </w:rPr>
    </w:lvl>
    <w:lvl w:ilvl="7" w:tplc="709435C0">
      <w:start w:val="1"/>
      <w:numFmt w:val="bullet"/>
      <w:lvlText w:val="o"/>
      <w:lvlJc w:val="left"/>
      <w:pPr>
        <w:ind w:left="5760" w:hanging="360"/>
      </w:pPr>
      <w:rPr>
        <w:rFonts w:hint="default" w:ascii="Courier New" w:hAnsi="Courier New"/>
      </w:rPr>
    </w:lvl>
    <w:lvl w:ilvl="8" w:tplc="5E48709A">
      <w:start w:val="1"/>
      <w:numFmt w:val="bullet"/>
      <w:lvlText w:val=""/>
      <w:lvlJc w:val="left"/>
      <w:pPr>
        <w:ind w:left="6480" w:hanging="360"/>
      </w:pPr>
      <w:rPr>
        <w:rFonts w:hint="default" w:ascii="Wingdings" w:hAnsi="Wingdings"/>
      </w:rPr>
    </w:lvl>
  </w:abstractNum>
  <w:abstractNum w:abstractNumId="8" w15:restartNumberingAfterBreak="0">
    <w:nsid w:val="50592D0C"/>
    <w:multiLevelType w:val="multilevel"/>
    <w:tmpl w:val="5A20F4B4"/>
    <w:lvl w:ilvl="0">
      <w:start w:val="1"/>
      <w:numFmt w:val="decimal"/>
      <w:lvlText w:val="%1."/>
      <w:lvlJc w:val="left"/>
      <w:pPr>
        <w:ind w:left="720" w:hanging="360"/>
      </w:pPr>
      <w:rPr>
        <w:rFonts w:hint="default" w:asciiTheme="majorHAnsi" w:hAnsiTheme="majorHAnsi" w:eastAsiaTheme="minorEastAsia" w:cstheme="minorBidi"/>
        <w:b/>
        <w:color w:val="auto"/>
      </w:rPr>
    </w:lvl>
    <w:lvl w:ilvl="1">
      <w:start w:val="1"/>
      <w:numFmt w:val="decimal"/>
      <w:isLgl/>
      <w:lvlText w:val="%1.%2."/>
      <w:lvlJc w:val="left"/>
      <w:pPr>
        <w:ind w:left="720" w:hanging="360"/>
      </w:pPr>
      <w:rPr>
        <w:rFonts w:hint="default" w:asciiTheme="majorHAnsi" w:hAnsiTheme="majorHAnsi" w:cstheme="majorHAnsi"/>
        <w:b/>
        <w:color w:val="auto"/>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BBC4BB"/>
    <w:multiLevelType w:val="hybridMultilevel"/>
    <w:tmpl w:val="40CADBA6"/>
    <w:lvl w:ilvl="0" w:tplc="F4C83E80">
      <w:start w:val="1"/>
      <w:numFmt w:val="decimal"/>
      <w:lvlText w:val="%1."/>
      <w:lvlJc w:val="left"/>
      <w:pPr>
        <w:ind w:left="720" w:hanging="360"/>
      </w:pPr>
    </w:lvl>
    <w:lvl w:ilvl="1" w:tplc="46D6CFAE">
      <w:start w:val="1"/>
      <w:numFmt w:val="lowerLetter"/>
      <w:lvlText w:val="%2."/>
      <w:lvlJc w:val="left"/>
      <w:pPr>
        <w:ind w:left="1440" w:hanging="360"/>
      </w:pPr>
    </w:lvl>
    <w:lvl w:ilvl="2" w:tplc="EA14A2EC">
      <w:start w:val="1"/>
      <w:numFmt w:val="lowerRoman"/>
      <w:lvlText w:val="%3."/>
      <w:lvlJc w:val="right"/>
      <w:pPr>
        <w:ind w:left="2160" w:hanging="180"/>
      </w:pPr>
    </w:lvl>
    <w:lvl w:ilvl="3" w:tplc="CA968F2A">
      <w:start w:val="1"/>
      <w:numFmt w:val="decimal"/>
      <w:lvlText w:val="%4."/>
      <w:lvlJc w:val="left"/>
      <w:pPr>
        <w:ind w:left="2880" w:hanging="360"/>
      </w:pPr>
    </w:lvl>
    <w:lvl w:ilvl="4" w:tplc="B1489026">
      <w:start w:val="1"/>
      <w:numFmt w:val="lowerLetter"/>
      <w:lvlText w:val="%5."/>
      <w:lvlJc w:val="left"/>
      <w:pPr>
        <w:ind w:left="3600" w:hanging="360"/>
      </w:pPr>
    </w:lvl>
    <w:lvl w:ilvl="5" w:tplc="AE8CCE4C">
      <w:start w:val="1"/>
      <w:numFmt w:val="lowerRoman"/>
      <w:lvlText w:val="%6."/>
      <w:lvlJc w:val="right"/>
      <w:pPr>
        <w:ind w:left="4320" w:hanging="180"/>
      </w:pPr>
    </w:lvl>
    <w:lvl w:ilvl="6" w:tplc="AEDE29BC">
      <w:start w:val="1"/>
      <w:numFmt w:val="decimal"/>
      <w:lvlText w:val="%7."/>
      <w:lvlJc w:val="left"/>
      <w:pPr>
        <w:ind w:left="5040" w:hanging="360"/>
      </w:pPr>
    </w:lvl>
    <w:lvl w:ilvl="7" w:tplc="565EA7FC">
      <w:start w:val="1"/>
      <w:numFmt w:val="lowerLetter"/>
      <w:lvlText w:val="%8."/>
      <w:lvlJc w:val="left"/>
      <w:pPr>
        <w:ind w:left="5760" w:hanging="360"/>
      </w:pPr>
    </w:lvl>
    <w:lvl w:ilvl="8" w:tplc="EC842BD2">
      <w:start w:val="1"/>
      <w:numFmt w:val="lowerRoman"/>
      <w:lvlText w:val="%9."/>
      <w:lvlJc w:val="right"/>
      <w:pPr>
        <w:ind w:left="6480" w:hanging="180"/>
      </w:pPr>
    </w:lvl>
  </w:abstractNum>
  <w:abstractNum w:abstractNumId="10" w15:restartNumberingAfterBreak="0">
    <w:nsid w:val="5D335859"/>
    <w:multiLevelType w:val="hybridMultilevel"/>
    <w:tmpl w:val="35FEE2E2"/>
    <w:lvl w:ilvl="0" w:tplc="83E8F914">
      <w:start w:val="1"/>
      <w:numFmt w:val="decimal"/>
      <w:lvlText w:val="%1."/>
      <w:lvlJc w:val="left"/>
      <w:pPr>
        <w:ind w:left="720" w:hanging="360"/>
      </w:pPr>
    </w:lvl>
    <w:lvl w:ilvl="1" w:tplc="F60A9BE0">
      <w:start w:val="1"/>
      <w:numFmt w:val="lowerLetter"/>
      <w:lvlText w:val="%2."/>
      <w:lvlJc w:val="left"/>
      <w:pPr>
        <w:ind w:left="1440" w:hanging="360"/>
      </w:pPr>
    </w:lvl>
    <w:lvl w:ilvl="2" w:tplc="7166CF28">
      <w:start w:val="1"/>
      <w:numFmt w:val="lowerRoman"/>
      <w:lvlText w:val="%3."/>
      <w:lvlJc w:val="right"/>
      <w:pPr>
        <w:ind w:left="2160" w:hanging="180"/>
      </w:pPr>
    </w:lvl>
    <w:lvl w:ilvl="3" w:tplc="B2341846">
      <w:start w:val="1"/>
      <w:numFmt w:val="decimal"/>
      <w:lvlText w:val="%4."/>
      <w:lvlJc w:val="left"/>
      <w:pPr>
        <w:ind w:left="2880" w:hanging="360"/>
      </w:pPr>
    </w:lvl>
    <w:lvl w:ilvl="4" w:tplc="80F25C7C">
      <w:start w:val="1"/>
      <w:numFmt w:val="lowerLetter"/>
      <w:lvlText w:val="%5."/>
      <w:lvlJc w:val="left"/>
      <w:pPr>
        <w:ind w:left="3600" w:hanging="360"/>
      </w:pPr>
    </w:lvl>
    <w:lvl w:ilvl="5" w:tplc="7F9CEC9E">
      <w:start w:val="1"/>
      <w:numFmt w:val="lowerRoman"/>
      <w:lvlText w:val="%6."/>
      <w:lvlJc w:val="right"/>
      <w:pPr>
        <w:ind w:left="4320" w:hanging="180"/>
      </w:pPr>
    </w:lvl>
    <w:lvl w:ilvl="6" w:tplc="F4D67536">
      <w:start w:val="1"/>
      <w:numFmt w:val="decimal"/>
      <w:lvlText w:val="%7."/>
      <w:lvlJc w:val="left"/>
      <w:pPr>
        <w:ind w:left="5040" w:hanging="360"/>
      </w:pPr>
    </w:lvl>
    <w:lvl w:ilvl="7" w:tplc="F33E1D3A">
      <w:start w:val="1"/>
      <w:numFmt w:val="lowerLetter"/>
      <w:lvlText w:val="%8."/>
      <w:lvlJc w:val="left"/>
      <w:pPr>
        <w:ind w:left="5760" w:hanging="360"/>
      </w:pPr>
    </w:lvl>
    <w:lvl w:ilvl="8" w:tplc="A2BA58CE">
      <w:start w:val="1"/>
      <w:numFmt w:val="lowerRoman"/>
      <w:lvlText w:val="%9."/>
      <w:lvlJc w:val="right"/>
      <w:pPr>
        <w:ind w:left="6480" w:hanging="180"/>
      </w:pPr>
    </w:lvl>
  </w:abstractNum>
  <w:abstractNum w:abstractNumId="11" w15:restartNumberingAfterBreak="0">
    <w:nsid w:val="613209B9"/>
    <w:multiLevelType w:val="hybridMultilevel"/>
    <w:tmpl w:val="51161B46"/>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hint="default" w:ascii="Courier New" w:hAnsi="Courier New" w:cs="Courier New"/>
      </w:rPr>
    </w:lvl>
    <w:lvl w:ilvl="2" w:tplc="04150005" w:tentative="1">
      <w:start w:val="1"/>
      <w:numFmt w:val="bullet"/>
      <w:lvlText w:val=""/>
      <w:lvlJc w:val="left"/>
      <w:pPr>
        <w:ind w:left="2162" w:hanging="360"/>
      </w:pPr>
      <w:rPr>
        <w:rFonts w:hint="default" w:ascii="Wingdings" w:hAnsi="Wingdings"/>
      </w:rPr>
    </w:lvl>
    <w:lvl w:ilvl="3" w:tplc="04150001" w:tentative="1">
      <w:start w:val="1"/>
      <w:numFmt w:val="bullet"/>
      <w:lvlText w:val=""/>
      <w:lvlJc w:val="left"/>
      <w:pPr>
        <w:ind w:left="2882" w:hanging="360"/>
      </w:pPr>
      <w:rPr>
        <w:rFonts w:hint="default" w:ascii="Symbol" w:hAnsi="Symbol"/>
      </w:rPr>
    </w:lvl>
    <w:lvl w:ilvl="4" w:tplc="04150003" w:tentative="1">
      <w:start w:val="1"/>
      <w:numFmt w:val="bullet"/>
      <w:lvlText w:val="o"/>
      <w:lvlJc w:val="left"/>
      <w:pPr>
        <w:ind w:left="3602" w:hanging="360"/>
      </w:pPr>
      <w:rPr>
        <w:rFonts w:hint="default" w:ascii="Courier New" w:hAnsi="Courier New" w:cs="Courier New"/>
      </w:rPr>
    </w:lvl>
    <w:lvl w:ilvl="5" w:tplc="04150005" w:tentative="1">
      <w:start w:val="1"/>
      <w:numFmt w:val="bullet"/>
      <w:lvlText w:val=""/>
      <w:lvlJc w:val="left"/>
      <w:pPr>
        <w:ind w:left="4322" w:hanging="360"/>
      </w:pPr>
      <w:rPr>
        <w:rFonts w:hint="default" w:ascii="Wingdings" w:hAnsi="Wingdings"/>
      </w:rPr>
    </w:lvl>
    <w:lvl w:ilvl="6" w:tplc="04150001" w:tentative="1">
      <w:start w:val="1"/>
      <w:numFmt w:val="bullet"/>
      <w:lvlText w:val=""/>
      <w:lvlJc w:val="left"/>
      <w:pPr>
        <w:ind w:left="5042" w:hanging="360"/>
      </w:pPr>
      <w:rPr>
        <w:rFonts w:hint="default" w:ascii="Symbol" w:hAnsi="Symbol"/>
      </w:rPr>
    </w:lvl>
    <w:lvl w:ilvl="7" w:tplc="04150003" w:tentative="1">
      <w:start w:val="1"/>
      <w:numFmt w:val="bullet"/>
      <w:lvlText w:val="o"/>
      <w:lvlJc w:val="left"/>
      <w:pPr>
        <w:ind w:left="5762" w:hanging="360"/>
      </w:pPr>
      <w:rPr>
        <w:rFonts w:hint="default" w:ascii="Courier New" w:hAnsi="Courier New" w:cs="Courier New"/>
      </w:rPr>
    </w:lvl>
    <w:lvl w:ilvl="8" w:tplc="04150005" w:tentative="1">
      <w:start w:val="1"/>
      <w:numFmt w:val="bullet"/>
      <w:lvlText w:val=""/>
      <w:lvlJc w:val="left"/>
      <w:pPr>
        <w:ind w:left="6482" w:hanging="360"/>
      </w:pPr>
      <w:rPr>
        <w:rFonts w:hint="default" w:ascii="Wingdings" w:hAnsi="Wingdings"/>
      </w:rPr>
    </w:lvl>
  </w:abstractNum>
  <w:abstractNum w:abstractNumId="12" w15:restartNumberingAfterBreak="0">
    <w:nsid w:val="6C22A836"/>
    <w:multiLevelType w:val="hybridMultilevel"/>
    <w:tmpl w:val="5C1E5EBC"/>
    <w:lvl w:ilvl="0" w:tplc="A95482B4">
      <w:start w:val="1"/>
      <w:numFmt w:val="decimal"/>
      <w:lvlText w:val="%1."/>
      <w:lvlJc w:val="left"/>
      <w:pPr>
        <w:ind w:left="720" w:hanging="360"/>
      </w:pPr>
    </w:lvl>
    <w:lvl w:ilvl="1" w:tplc="D08E55B8">
      <w:start w:val="1"/>
      <w:numFmt w:val="lowerLetter"/>
      <w:lvlText w:val="%2."/>
      <w:lvlJc w:val="left"/>
      <w:pPr>
        <w:ind w:left="1440" w:hanging="360"/>
      </w:pPr>
    </w:lvl>
    <w:lvl w:ilvl="2" w:tplc="F982A49C">
      <w:start w:val="1"/>
      <w:numFmt w:val="lowerRoman"/>
      <w:lvlText w:val="%3."/>
      <w:lvlJc w:val="right"/>
      <w:pPr>
        <w:ind w:left="2160" w:hanging="180"/>
      </w:pPr>
    </w:lvl>
    <w:lvl w:ilvl="3" w:tplc="932810C0">
      <w:start w:val="1"/>
      <w:numFmt w:val="decimal"/>
      <w:lvlText w:val="%4."/>
      <w:lvlJc w:val="left"/>
      <w:pPr>
        <w:ind w:left="2880" w:hanging="360"/>
      </w:pPr>
    </w:lvl>
    <w:lvl w:ilvl="4" w:tplc="01EC0DA8">
      <w:start w:val="1"/>
      <w:numFmt w:val="lowerLetter"/>
      <w:lvlText w:val="%5."/>
      <w:lvlJc w:val="left"/>
      <w:pPr>
        <w:ind w:left="3600" w:hanging="360"/>
      </w:pPr>
    </w:lvl>
    <w:lvl w:ilvl="5" w:tplc="5D68E72C">
      <w:start w:val="1"/>
      <w:numFmt w:val="lowerRoman"/>
      <w:lvlText w:val="%6."/>
      <w:lvlJc w:val="right"/>
      <w:pPr>
        <w:ind w:left="4320" w:hanging="180"/>
      </w:pPr>
    </w:lvl>
    <w:lvl w:ilvl="6" w:tplc="21DC540C">
      <w:start w:val="1"/>
      <w:numFmt w:val="decimal"/>
      <w:lvlText w:val="%7."/>
      <w:lvlJc w:val="left"/>
      <w:pPr>
        <w:ind w:left="5040" w:hanging="360"/>
      </w:pPr>
    </w:lvl>
    <w:lvl w:ilvl="7" w:tplc="A76C7D44">
      <w:start w:val="1"/>
      <w:numFmt w:val="lowerLetter"/>
      <w:lvlText w:val="%8."/>
      <w:lvlJc w:val="left"/>
      <w:pPr>
        <w:ind w:left="5760" w:hanging="360"/>
      </w:pPr>
    </w:lvl>
    <w:lvl w:ilvl="8" w:tplc="FB00DEF4">
      <w:start w:val="1"/>
      <w:numFmt w:val="lowerRoman"/>
      <w:lvlText w:val="%9."/>
      <w:lvlJc w:val="right"/>
      <w:pPr>
        <w:ind w:left="6480" w:hanging="180"/>
      </w:pPr>
    </w:lvl>
  </w:abstractNum>
  <w:abstractNum w:abstractNumId="13" w15:restartNumberingAfterBreak="0">
    <w:nsid w:val="708E32BA"/>
    <w:multiLevelType w:val="hybridMultilevel"/>
    <w:tmpl w:val="8708CF24"/>
    <w:lvl w:ilvl="0" w:tplc="4768F8B8">
      <w:start w:val="1"/>
      <w:numFmt w:val="bullet"/>
      <w:lvlText w:val="§"/>
      <w:lvlJc w:val="left"/>
      <w:pPr>
        <w:ind w:left="720" w:hanging="360"/>
      </w:pPr>
      <w:rPr>
        <w:rFonts w:hint="default" w:ascii="Wingdings" w:hAnsi="Wingdings"/>
      </w:rPr>
    </w:lvl>
    <w:lvl w:ilvl="1" w:tplc="4BC88FE8">
      <w:start w:val="1"/>
      <w:numFmt w:val="bullet"/>
      <w:lvlText w:val="o"/>
      <w:lvlJc w:val="left"/>
      <w:pPr>
        <w:ind w:left="1440" w:hanging="360"/>
      </w:pPr>
      <w:rPr>
        <w:rFonts w:hint="default" w:ascii="Courier New" w:hAnsi="Courier New"/>
      </w:rPr>
    </w:lvl>
    <w:lvl w:ilvl="2" w:tplc="2F482AA6">
      <w:start w:val="1"/>
      <w:numFmt w:val="bullet"/>
      <w:lvlText w:val=""/>
      <w:lvlJc w:val="left"/>
      <w:pPr>
        <w:ind w:left="2160" w:hanging="360"/>
      </w:pPr>
      <w:rPr>
        <w:rFonts w:hint="default" w:ascii="Wingdings" w:hAnsi="Wingdings"/>
      </w:rPr>
    </w:lvl>
    <w:lvl w:ilvl="3" w:tplc="7A3E4386">
      <w:start w:val="1"/>
      <w:numFmt w:val="bullet"/>
      <w:lvlText w:val=""/>
      <w:lvlJc w:val="left"/>
      <w:pPr>
        <w:ind w:left="2880" w:hanging="360"/>
      </w:pPr>
      <w:rPr>
        <w:rFonts w:hint="default" w:ascii="Symbol" w:hAnsi="Symbol"/>
      </w:rPr>
    </w:lvl>
    <w:lvl w:ilvl="4" w:tplc="D4985696">
      <w:start w:val="1"/>
      <w:numFmt w:val="bullet"/>
      <w:lvlText w:val="o"/>
      <w:lvlJc w:val="left"/>
      <w:pPr>
        <w:ind w:left="3600" w:hanging="360"/>
      </w:pPr>
      <w:rPr>
        <w:rFonts w:hint="default" w:ascii="Courier New" w:hAnsi="Courier New"/>
      </w:rPr>
    </w:lvl>
    <w:lvl w:ilvl="5" w:tplc="10D4D13C">
      <w:start w:val="1"/>
      <w:numFmt w:val="bullet"/>
      <w:lvlText w:val=""/>
      <w:lvlJc w:val="left"/>
      <w:pPr>
        <w:ind w:left="4320" w:hanging="360"/>
      </w:pPr>
      <w:rPr>
        <w:rFonts w:hint="default" w:ascii="Wingdings" w:hAnsi="Wingdings"/>
      </w:rPr>
    </w:lvl>
    <w:lvl w:ilvl="6" w:tplc="96F0F83C">
      <w:start w:val="1"/>
      <w:numFmt w:val="bullet"/>
      <w:lvlText w:val=""/>
      <w:lvlJc w:val="left"/>
      <w:pPr>
        <w:ind w:left="5040" w:hanging="360"/>
      </w:pPr>
      <w:rPr>
        <w:rFonts w:hint="default" w:ascii="Symbol" w:hAnsi="Symbol"/>
      </w:rPr>
    </w:lvl>
    <w:lvl w:ilvl="7" w:tplc="E1004DB0">
      <w:start w:val="1"/>
      <w:numFmt w:val="bullet"/>
      <w:lvlText w:val="o"/>
      <w:lvlJc w:val="left"/>
      <w:pPr>
        <w:ind w:left="5760" w:hanging="360"/>
      </w:pPr>
      <w:rPr>
        <w:rFonts w:hint="default" w:ascii="Courier New" w:hAnsi="Courier New"/>
      </w:rPr>
    </w:lvl>
    <w:lvl w:ilvl="8" w:tplc="CEAAE6FC">
      <w:start w:val="1"/>
      <w:numFmt w:val="bullet"/>
      <w:lvlText w:val=""/>
      <w:lvlJc w:val="left"/>
      <w:pPr>
        <w:ind w:left="6480" w:hanging="360"/>
      </w:pPr>
      <w:rPr>
        <w:rFonts w:hint="default" w:ascii="Wingdings" w:hAnsi="Wingdings"/>
      </w:rPr>
    </w:lvl>
  </w:abstractNum>
  <w:num w:numId="1">
    <w:abstractNumId w:val="8"/>
  </w:num>
  <w:num w:numId="2">
    <w:abstractNumId w:val="0"/>
  </w:num>
  <w:num w:numId="3">
    <w:abstractNumId w:val="4"/>
  </w:num>
  <w:num w:numId="4">
    <w:abstractNumId w:val="1"/>
  </w:num>
  <w:num w:numId="5">
    <w:abstractNumId w:val="5"/>
  </w:num>
  <w:num w:numId="6">
    <w:abstractNumId w:val="9"/>
  </w:num>
  <w:num w:numId="7">
    <w:abstractNumId w:val="13"/>
  </w:num>
  <w:num w:numId="8">
    <w:abstractNumId w:val="12"/>
  </w:num>
  <w:num w:numId="9">
    <w:abstractNumId w:val="7"/>
  </w:num>
  <w:num w:numId="10">
    <w:abstractNumId w:val="10"/>
  </w:num>
  <w:num w:numId="11">
    <w:abstractNumId w:val="2"/>
  </w:num>
  <w:num w:numId="12">
    <w:abstractNumId w:val="3"/>
  </w:num>
  <w:num w:numId="13">
    <w:abstractNumId w:val="6"/>
  </w:num>
  <w:num w:numId="14">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tru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42"/>
    <w:rsid w:val="000D33AF"/>
    <w:rsid w:val="00274FB8"/>
    <w:rsid w:val="00324C81"/>
    <w:rsid w:val="0033620F"/>
    <w:rsid w:val="00377A5A"/>
    <w:rsid w:val="004264F4"/>
    <w:rsid w:val="00765E87"/>
    <w:rsid w:val="008C7F71"/>
    <w:rsid w:val="009EDCA2"/>
    <w:rsid w:val="00B30E42"/>
    <w:rsid w:val="00CA4F09"/>
    <w:rsid w:val="00F114DA"/>
    <w:rsid w:val="00F40084"/>
    <w:rsid w:val="0DDAE844"/>
    <w:rsid w:val="1EC394F8"/>
    <w:rsid w:val="1F0FE9B2"/>
    <w:rsid w:val="24E5BF93"/>
    <w:rsid w:val="25C7C9B3"/>
    <w:rsid w:val="4010BD8E"/>
    <w:rsid w:val="48C6F672"/>
    <w:rsid w:val="54F83198"/>
    <w:rsid w:val="5C1C6E7C"/>
    <w:rsid w:val="65EDB25E"/>
    <w:rsid w:val="74B75A32"/>
    <w:rsid w:val="79327F9F"/>
    <w:rsid w:val="796B9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D3118"/>
  <w15:chartTrackingRefBased/>
  <w15:docId w15:val="{B2546F60-D799-41A6-B0B1-29EB601F9B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1"/>
        <w:szCs w:val="21"/>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ny" w:default="1">
    <w:name w:val="Normal"/>
    <w:qFormat/>
    <w:rsid w:val="00B30E42"/>
    <w:pPr>
      <w:spacing w:after="120" w:line="264" w:lineRule="auto"/>
    </w:pPr>
    <w:rPr>
      <w:rFonts w:eastAsiaTheme="minorEastAsia"/>
      <w:sz w:val="19"/>
      <w:szCs w:val="19"/>
    </w:rPr>
  </w:style>
  <w:style w:type="paragraph" w:styleId="Nagwek2">
    <w:name w:val="heading 2"/>
    <w:basedOn w:val="Normalny"/>
    <w:next w:val="Normalny"/>
    <w:link w:val="Nagwek2Znak"/>
    <w:uiPriority w:val="9"/>
    <w:unhideWhenUsed/>
    <w:qFormat/>
    <w:rsid w:val="00765E87"/>
    <w:pPr>
      <w:keepNext/>
      <w:keepLines/>
      <w:spacing w:before="80" w:after="0" w:line="240" w:lineRule="auto"/>
      <w:outlineLvl w:val="1"/>
    </w:pPr>
    <w:rPr>
      <w:rFonts w:asciiTheme="majorHAnsi" w:hAnsiTheme="majorHAnsi" w:eastAsiaTheme="majorEastAsia" w:cstheme="majorBidi"/>
      <w:color w:val="404040" w:themeColor="text1" w:themeTint="BF"/>
      <w:sz w:val="27"/>
      <w:szCs w:val="27"/>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B30E42"/>
    <w:pPr>
      <w:ind w:left="720"/>
      <w:contextualSpacing/>
    </w:pPr>
  </w:style>
  <w:style w:type="character" w:styleId="AkapitzlistZnak" w:customStyle="1">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uiPriority w:val="34"/>
    <w:qFormat/>
    <w:rsid w:val="00B30E42"/>
    <w:rPr>
      <w:rFonts w:eastAsiaTheme="minorEastAsia"/>
      <w:sz w:val="19"/>
      <w:szCs w:val="19"/>
    </w:rPr>
  </w:style>
  <w:style w:type="character" w:styleId="Hipercze">
    <w:name w:val="Hyperlink"/>
    <w:basedOn w:val="Domylnaczcionkaakapitu"/>
    <w:uiPriority w:val="99"/>
    <w:unhideWhenUsed/>
    <w:rsid w:val="00B30E42"/>
    <w:rPr>
      <w:color w:val="0563C1" w:themeColor="hyperlink"/>
      <w:u w:val="single"/>
    </w:rPr>
  </w:style>
  <w:style w:type="table" w:styleId="Tabela-Siatka">
    <w:name w:val="Table Grid"/>
    <w:basedOn w:val="Standardowy"/>
    <w:uiPriority w:val="39"/>
    <w:rsid w:val="00B30E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agwek">
    <w:name w:val="header"/>
    <w:basedOn w:val="Normalny"/>
    <w:link w:val="NagwekZnak"/>
    <w:uiPriority w:val="99"/>
    <w:unhideWhenUsed/>
    <w:rsid w:val="00B30E42"/>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B30E42"/>
    <w:rPr>
      <w:rFonts w:eastAsiaTheme="minorEastAsia"/>
      <w:sz w:val="19"/>
      <w:szCs w:val="19"/>
    </w:rPr>
  </w:style>
  <w:style w:type="paragraph" w:styleId="Stopka">
    <w:name w:val="footer"/>
    <w:basedOn w:val="Normalny"/>
    <w:link w:val="StopkaZnak"/>
    <w:uiPriority w:val="99"/>
    <w:unhideWhenUsed/>
    <w:rsid w:val="00B30E42"/>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B30E42"/>
    <w:rPr>
      <w:rFonts w:eastAsiaTheme="minorEastAsia"/>
      <w:sz w:val="19"/>
      <w:szCs w:val="19"/>
    </w:rPr>
  </w:style>
  <w:style w:type="character" w:styleId="Nagwek2Znak" w:customStyle="1">
    <w:name w:val="Nagłówek 2 Znak"/>
    <w:basedOn w:val="Domylnaczcionkaakapitu"/>
    <w:link w:val="Nagwek2"/>
    <w:uiPriority w:val="9"/>
    <w:rsid w:val="00765E87"/>
    <w:rPr>
      <w:rFonts w:asciiTheme="majorHAnsi" w:hAnsiTheme="majorHAnsi" w:eastAsiaTheme="majorEastAsia" w:cstheme="majorBidi"/>
      <w:color w:val="404040" w:themeColor="text1" w:themeTint="BF"/>
      <w:sz w:val="27"/>
      <w:szCs w:val="27"/>
    </w:rPr>
  </w:style>
  <w:style w:type="paragraph" w:styleId="Tekstprzypisudolnego">
    <w:name w:val="footnote text"/>
    <w:basedOn w:val="Normalny"/>
    <w:link w:val="TekstprzypisudolnegoZnak"/>
    <w:uiPriority w:val="99"/>
    <w:semiHidden/>
    <w:unhideWhenUsed/>
    <w:rsid w:val="00F40084"/>
    <w:pPr>
      <w:spacing w:after="0" w:line="240" w:lineRule="auto"/>
    </w:pPr>
  </w:style>
  <w:style w:type="character" w:styleId="TekstprzypisudolnegoZnak" w:customStyle="1">
    <w:name w:val="Tekst przypisu dolnego Znak"/>
    <w:basedOn w:val="Domylnaczcionkaakapitu"/>
    <w:link w:val="Tekstprzypisudolnego"/>
    <w:uiPriority w:val="99"/>
    <w:semiHidden/>
    <w:rsid w:val="00F40084"/>
    <w:rPr>
      <w:rFonts w:eastAsiaTheme="minorEastAsia"/>
      <w:sz w:val="19"/>
      <w:szCs w:val="19"/>
    </w:rPr>
  </w:style>
  <w:style w:type="character" w:styleId="Odwoanieprzypisudolnego">
    <w:name w:val="footnote reference"/>
    <w:basedOn w:val="Domylnaczcionkaakapitu"/>
    <w:uiPriority w:val="99"/>
    <w:semiHidden/>
    <w:unhideWhenUsed/>
    <w:rsid w:val="00F400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 Id="rId8" /><Relationship Type="http://schemas.openxmlformats.org/officeDocument/2006/relationships/hyperlink" Target="mailto:iod@ncbr.gov.pl" TargetMode="External" Id="rId13" /><Relationship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 Id="rId7" /><Relationship Type="http://schemas.openxmlformats.org/officeDocument/2006/relationships/hyperlink" Target="mailto:IOD@mfipr.gov.pl" TargetMode="External" Id="rId12" /><Relationship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 Id="rId17" /><Relationship Type="http://schemas.openxmlformats.org/officeDocument/2006/relationships/customXml" Target="../customXml/item3.xml" Id="rId25" /><Relationship Type="http://schemas.openxmlformats.org/officeDocument/2006/relationships/styles" Target="styles.xml" Id="rId2" /><Relationship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 Id="rId16" /><Relationship Type="http://schemas.openxmlformats.org/officeDocument/2006/relationships/header" Target="header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 Id="rId11" /><Relationship Type="http://schemas.openxmlformats.org/officeDocument/2006/relationships/customXml" Target="../customXml/item2.xml" Id="rId24" /><Relationship Type="http://schemas.openxmlformats.org/officeDocument/2006/relationships/footnotes" Target="footnotes.xml" Id="rId5" /><Relationship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 Id="rId15" /><Relationship Type="http://schemas.openxmlformats.org/officeDocument/2006/relationships/customXml" Target="../customXml/item1.xml" Id="rId23" /><Relationship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 Id="rId10" /><Relationship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 Id="rId19" /><Relationship Type="http://schemas.openxmlformats.org/officeDocument/2006/relationships/webSettings" Target="webSettings.xml" Id="rId4" /><Relationship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 Id="rId9" /><Relationship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112B5459A1D47B1D440AB75E7D5EA" ma:contentTypeVersion="4" ma:contentTypeDescription="Create a new document." ma:contentTypeScope="" ma:versionID="18baa6c4ea8d7df7e29dd0b40b816725">
  <xsd:schema xmlns:xsd="http://www.w3.org/2001/XMLSchema" xmlns:xs="http://www.w3.org/2001/XMLSchema" xmlns:p="http://schemas.microsoft.com/office/2006/metadata/properties" xmlns:ns2="249fa93a-6558-4b71-b828-96794a592a3b" targetNamespace="http://schemas.microsoft.com/office/2006/metadata/properties" ma:root="true" ma:fieldsID="8117271ed1478ce317c0d9f94409b567" ns2:_="">
    <xsd:import namespace="249fa93a-6558-4b71-b828-96794a592a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fa93a-6558-4b71-b828-96794a59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70D2D4-86DF-45EC-A02A-DD2337A698B5}"/>
</file>

<file path=customXml/itemProps2.xml><?xml version="1.0" encoding="utf-8"?>
<ds:datastoreItem xmlns:ds="http://schemas.openxmlformats.org/officeDocument/2006/customXml" ds:itemID="{3A4AEA75-08CA-4526-95ED-781A871E253D}"/>
</file>

<file path=customXml/itemProps3.xml><?xml version="1.0" encoding="utf-8"?>
<ds:datastoreItem xmlns:ds="http://schemas.openxmlformats.org/officeDocument/2006/customXml" ds:itemID="{82DFCE8B-E585-44F1-BC0D-18886113B787}"/>
</file>

<file path=docProps/app.xml><?xml version="1.0" encoding="utf-8"?>
<ap: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Sokołowska</dc:creator>
  <cp:keywords>, docId:5E143BDCFFD437A490A9FAE35BD68A2D</cp:keywords>
  <dc:description/>
  <cp:lastModifiedBy>Mariusz Głąbowski</cp:lastModifiedBy>
  <cp:revision>8</cp:revision>
  <dcterms:created xsi:type="dcterms:W3CDTF">2024-10-09T07:52:00Z</dcterms:created>
  <dcterms:modified xsi:type="dcterms:W3CDTF">2024-11-27T09:55:03Z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0x0101009F1112B5459A1D47B1D440AB75E7D5EA</vt:lpwstr>
  </property>
</Properties>
</file>